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6EA95" w14:textId="572564EB" w:rsidR="006C7F83" w:rsidRPr="001F774A" w:rsidRDefault="00D84FB9" w:rsidP="00AC2747">
      <w:pPr>
        <w:pStyle w:val="Heading1"/>
        <w:spacing w:before="200"/>
      </w:pPr>
      <w:r w:rsidRPr="00D84FB9">
        <w:rPr>
          <w:bCs/>
          <w:i/>
          <w:iCs/>
        </w:rPr>
        <w:t>Bioretention Technical Design Guidelines</w:t>
      </w:r>
      <w:r w:rsidR="00B9094A" w:rsidRPr="00D84FB9">
        <w:rPr>
          <w:bCs/>
        </w:rPr>
        <w:t xml:space="preserve"> 2026</w:t>
      </w:r>
      <w:r w:rsidR="0053579E" w:rsidRPr="00D84FB9">
        <w:rPr>
          <w:bCs/>
        </w:rPr>
        <w:t xml:space="preserve"> </w:t>
      </w:r>
      <w:r w:rsidR="005625CC" w:rsidRPr="00D84FB9">
        <w:rPr>
          <w:bCs/>
        </w:rPr>
        <w:t>update</w:t>
      </w:r>
    </w:p>
    <w:p w14:paraId="1851C181" w14:textId="1D22F186" w:rsidR="0055246F" w:rsidRDefault="0055246F" w:rsidP="00D84FB9">
      <w:r w:rsidRPr="0053579E">
        <w:t xml:space="preserve">Water by Design has recently produced a draft update to our </w:t>
      </w:r>
      <w:r w:rsidR="00D84FB9" w:rsidRPr="00D84FB9">
        <w:rPr>
          <w:i/>
          <w:iCs/>
        </w:rPr>
        <w:t>Bioretention Technical Design Guidelines</w:t>
      </w:r>
      <w:r w:rsidRPr="0053579E">
        <w:t xml:space="preserve"> and are seeking feedback on it.</w:t>
      </w:r>
    </w:p>
    <w:p w14:paraId="3F05A35C" w14:textId="74CA0677" w:rsidR="00D84FB9" w:rsidRPr="00D84FB9" w:rsidRDefault="00D84FB9" w:rsidP="00D84FB9">
      <w:r w:rsidRPr="00D84FB9">
        <w:t>This update incorporates more than 10 years</w:t>
      </w:r>
      <w:r>
        <w:t xml:space="preserve"> of</w:t>
      </w:r>
      <w:r w:rsidRPr="00D84FB9">
        <w:t xml:space="preserve"> additional bioretention design knowledge into an already widely used document. Some key areas where changes have been made to the document include:</w:t>
      </w:r>
    </w:p>
    <w:p w14:paraId="5658E68C" w14:textId="075938FC" w:rsidR="00D84FB9" w:rsidRPr="00D84FB9" w:rsidRDefault="00D84FB9" w:rsidP="00A0447E">
      <w:pPr>
        <w:pStyle w:val="Bullet"/>
      </w:pPr>
      <w:r w:rsidRPr="00D84FB9">
        <w:t>Increase of the minimum filter media depth from 400 mm to 600 mm. Removal of any additional depth requirements for trees (Section 2.4).</w:t>
      </w:r>
    </w:p>
    <w:p w14:paraId="2B9178CE" w14:textId="6C79FD24" w:rsidR="00D84FB9" w:rsidRPr="00D84FB9" w:rsidRDefault="00D84FB9" w:rsidP="00A0447E">
      <w:pPr>
        <w:pStyle w:val="Bullet"/>
      </w:pPr>
      <w:r w:rsidRPr="00D84FB9">
        <w:t>New section on functional design (Section 3.1).</w:t>
      </w:r>
    </w:p>
    <w:p w14:paraId="06D4388D" w14:textId="34A4CC86" w:rsidR="00D84FB9" w:rsidRPr="00D84FB9" w:rsidRDefault="00D84FB9" w:rsidP="00A0447E">
      <w:pPr>
        <w:pStyle w:val="Bullet"/>
      </w:pPr>
      <w:r w:rsidRPr="00D84FB9">
        <w:t>Enhanced guidance on how to configure large bioretention systems (Section 3.4.3.1).</w:t>
      </w:r>
    </w:p>
    <w:p w14:paraId="168A382A" w14:textId="296C63E8" w:rsidR="00D84FB9" w:rsidRPr="00D84FB9" w:rsidRDefault="00D84FB9" w:rsidP="00A0447E">
      <w:pPr>
        <w:pStyle w:val="Bullet"/>
      </w:pPr>
      <w:r w:rsidRPr="00D84FB9">
        <w:t>New guidance and clarification regarding collocation with detention basins (Section 3.4.9) and flood immunity requirements (Section 3.4.10).</w:t>
      </w:r>
    </w:p>
    <w:p w14:paraId="4F996CE9" w14:textId="553519F4" w:rsidR="00D84FB9" w:rsidRPr="00D84FB9" w:rsidRDefault="00D84FB9" w:rsidP="00A0447E">
      <w:pPr>
        <w:pStyle w:val="Bullet"/>
      </w:pPr>
      <w:r w:rsidRPr="00D84FB9">
        <w:t>Further guidance on the use of energy dissipation and alignment of sediment forebays (Section 3.5.3.3).</w:t>
      </w:r>
    </w:p>
    <w:p w14:paraId="4BF415B0" w14:textId="6947B12B" w:rsidR="00D84FB9" w:rsidRPr="00D84FB9" w:rsidRDefault="00D84FB9" w:rsidP="00A0447E">
      <w:pPr>
        <w:pStyle w:val="Bullet"/>
      </w:pPr>
      <w:r w:rsidRPr="00D84FB9">
        <w:t>Reduced requirements for underdrainage cleanout points (Section 3.6.1.1).</w:t>
      </w:r>
    </w:p>
    <w:p w14:paraId="6DF0E21E" w14:textId="0C7E150B" w:rsidR="00D84FB9" w:rsidRPr="00D84FB9" w:rsidRDefault="00D84FB9" w:rsidP="00A0447E">
      <w:pPr>
        <w:pStyle w:val="Bullet"/>
      </w:pPr>
      <w:r w:rsidRPr="00D84FB9">
        <w:t>Alterations to pit and riser configurations for saturated zone systems (Section 3.6.1.4).</w:t>
      </w:r>
    </w:p>
    <w:p w14:paraId="4D1F894A" w14:textId="718B35B3" w:rsidR="00D84FB9" w:rsidRPr="00D84FB9" w:rsidRDefault="00D84FB9" w:rsidP="00A0447E">
      <w:pPr>
        <w:pStyle w:val="Bullet"/>
      </w:pPr>
      <w:r w:rsidRPr="00D84FB9">
        <w:t>Guidance on the use of temporary upstands during plant establishment (Section 3.6.1.5).</w:t>
      </w:r>
    </w:p>
    <w:p w14:paraId="76B75C0B" w14:textId="509D776B" w:rsidR="00D84FB9" w:rsidRDefault="00D84FB9" w:rsidP="00A0447E">
      <w:pPr>
        <w:pStyle w:val="Bullet"/>
      </w:pPr>
      <w:r w:rsidRPr="00D84FB9">
        <w:t>Expanded vegetation design section with much greater focus on planting to create resilient low-maintenance ecosystems. The use of trees is now the default in all bioretention unless there is an overriding reason not to include them (Section 3.7).</w:t>
      </w:r>
    </w:p>
    <w:p w14:paraId="21C81A59" w14:textId="1AD5E900" w:rsidR="00D84FB9" w:rsidRPr="00D84FB9" w:rsidRDefault="00D84FB9" w:rsidP="00D84FB9">
      <w:r w:rsidRPr="00D84FB9">
        <w:t>A full list of changes is available in Section 1.1 of the guideline.</w:t>
      </w:r>
    </w:p>
    <w:p w14:paraId="69182BDB" w14:textId="134265B5" w:rsidR="00B9094A" w:rsidRPr="001F774A" w:rsidRDefault="00B9094A" w:rsidP="00AC2747">
      <w:pPr>
        <w:pStyle w:val="Heading2"/>
        <w:spacing w:before="240"/>
      </w:pPr>
      <w:r w:rsidRPr="001F774A">
        <w:t xml:space="preserve">How to </w:t>
      </w:r>
      <w:r w:rsidR="0053579E">
        <w:t>p</w:t>
      </w:r>
      <w:r w:rsidR="0053579E" w:rsidRPr="001F774A">
        <w:t xml:space="preserve">rovide </w:t>
      </w:r>
      <w:r w:rsidR="0053579E">
        <w:t>f</w:t>
      </w:r>
      <w:r w:rsidR="0053579E" w:rsidRPr="001F774A">
        <w:t>eedback</w:t>
      </w:r>
    </w:p>
    <w:p w14:paraId="178347DA" w14:textId="5C00D693" w:rsidR="00B9094A" w:rsidRPr="0053579E" w:rsidRDefault="00B9094A" w:rsidP="00D84FB9">
      <w:r w:rsidRPr="0053579E">
        <w:t>To provide feedback, please complete the template below and email a copy to</w:t>
      </w:r>
      <w:r w:rsidRPr="0053579E">
        <w:rPr>
          <w:color w:val="82C5FF" w:themeColor="background1"/>
        </w:rPr>
        <w:t xml:space="preserve"> </w:t>
      </w:r>
      <w:hyperlink r:id="rId8" w:history="1">
        <w:r w:rsidRPr="0053579E">
          <w:rPr>
            <w:rStyle w:val="Hyperlink"/>
            <w:color w:val="82C5FF" w:themeColor="background1"/>
          </w:rPr>
          <w:t>jack.m@hlw.org.au</w:t>
        </w:r>
      </w:hyperlink>
      <w:r w:rsidRPr="0053579E">
        <w:t xml:space="preserve"> by </w:t>
      </w:r>
      <w:r w:rsidRPr="0053579E">
        <w:rPr>
          <w:b/>
          <w:bCs/>
        </w:rPr>
        <w:t xml:space="preserve">Friday </w:t>
      </w:r>
      <w:r w:rsidR="00D84FB9">
        <w:rPr>
          <w:b/>
          <w:bCs/>
        </w:rPr>
        <w:t xml:space="preserve">1 </w:t>
      </w:r>
      <w:r w:rsidR="003A73A9" w:rsidRPr="0053579E">
        <w:rPr>
          <w:b/>
          <w:bCs/>
        </w:rPr>
        <w:t>May</w:t>
      </w:r>
      <w:r w:rsidR="0055246F" w:rsidRPr="0053579E">
        <w:rPr>
          <w:b/>
          <w:bCs/>
        </w:rPr>
        <w:t xml:space="preserve"> </w:t>
      </w:r>
      <w:r w:rsidRPr="0053579E">
        <w:rPr>
          <w:b/>
          <w:bCs/>
        </w:rPr>
        <w:t>2026</w:t>
      </w:r>
      <w:r w:rsidRPr="0053579E">
        <w:t>.</w:t>
      </w:r>
    </w:p>
    <w:p w14:paraId="7DAF6768" w14:textId="60F91873" w:rsidR="006C5513" w:rsidRDefault="00B9094A" w:rsidP="00D84FB9">
      <w:r w:rsidRPr="0053579E">
        <w:t xml:space="preserve">If you would like to know more or have </w:t>
      </w:r>
      <w:r w:rsidR="00D84FB9">
        <w:t xml:space="preserve">any </w:t>
      </w:r>
      <w:r w:rsidRPr="0053579E">
        <w:t xml:space="preserve">questions, please contact </w:t>
      </w:r>
      <w:hyperlink r:id="rId9" w:history="1">
        <w:r w:rsidRPr="0053579E">
          <w:rPr>
            <w:rStyle w:val="Hyperlink"/>
            <w:color w:val="82C5FF" w:themeColor="background1"/>
          </w:rPr>
          <w:t>jack.m@hlw.org.au</w:t>
        </w:r>
      </w:hyperlink>
      <w:r w:rsidRPr="0053579E">
        <w:t>.</w:t>
      </w:r>
    </w:p>
    <w:p w14:paraId="5FF4EF34" w14:textId="77777777" w:rsidR="006C5513" w:rsidRDefault="006C5513" w:rsidP="0053579E">
      <w:pPr>
        <w:pStyle w:val="Heading2"/>
        <w:sectPr w:rsidR="006C5513" w:rsidSect="001F774A">
          <w:headerReference w:type="default" r:id="rId10"/>
          <w:footerReference w:type="default" r:id="rId11"/>
          <w:pgSz w:w="11900" w:h="16840"/>
          <w:pgMar w:top="1701" w:right="992" w:bottom="1134" w:left="992" w:header="709" w:footer="425" w:gutter="0"/>
          <w:cols w:space="708"/>
          <w:docGrid w:linePitch="326"/>
        </w:sectPr>
      </w:pPr>
    </w:p>
    <w:p w14:paraId="4EE07C89" w14:textId="57434C1F" w:rsidR="006C5513" w:rsidRPr="006C5513" w:rsidRDefault="006C5513" w:rsidP="00AC2747">
      <w:pPr>
        <w:pStyle w:val="Heading1"/>
        <w:spacing w:before="200"/>
      </w:pPr>
      <w:r>
        <w:lastRenderedPageBreak/>
        <w:t xml:space="preserve">Feedback </w:t>
      </w:r>
      <w:r w:rsidR="005625CC">
        <w:t>form:</w:t>
      </w:r>
      <w:r>
        <w:t xml:space="preserve"> </w:t>
      </w:r>
      <w:r w:rsidR="00D84FB9" w:rsidRPr="00D84FB9">
        <w:rPr>
          <w:i/>
          <w:iCs/>
        </w:rPr>
        <w:t>Bioretention Technical Design Guidelines</w:t>
      </w:r>
      <w:r w:rsidR="005625CC" w:rsidRPr="00AC2747">
        <w:rPr>
          <w:i/>
          <w:iCs/>
        </w:rPr>
        <w:t xml:space="preserve"> </w:t>
      </w:r>
    </w:p>
    <w:tbl>
      <w:tblPr>
        <w:tblStyle w:val="TableGrid"/>
        <w:tblW w:w="0" w:type="auto"/>
        <w:tblBorders>
          <w:top w:val="single" w:sz="4" w:space="0" w:color="035B77" w:themeColor="text2"/>
          <w:left w:val="single" w:sz="4" w:space="0" w:color="035B77" w:themeColor="text2"/>
          <w:bottom w:val="single" w:sz="4" w:space="0" w:color="035B77" w:themeColor="text2"/>
          <w:right w:val="single" w:sz="4" w:space="0" w:color="035B77" w:themeColor="text2"/>
          <w:insideH w:val="single" w:sz="4" w:space="0" w:color="035B77" w:themeColor="text2"/>
          <w:insideV w:val="single" w:sz="4" w:space="0" w:color="035B77" w:themeColor="text2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1696"/>
        <w:gridCol w:w="6237"/>
        <w:gridCol w:w="6913"/>
      </w:tblGrid>
      <w:tr w:rsidR="000F33BE" w:rsidRPr="00D84FB9" w14:paraId="45CFB936" w14:textId="77777777" w:rsidTr="001D3BDA">
        <w:tc>
          <w:tcPr>
            <w:tcW w:w="1696" w:type="dxa"/>
            <w:tcBorders>
              <w:right w:val="single" w:sz="4" w:space="0" w:color="FFFFFF"/>
            </w:tcBorders>
            <w:shd w:val="clear" w:color="auto" w:fill="035B77" w:themeFill="text2"/>
          </w:tcPr>
          <w:p w14:paraId="09DB7959" w14:textId="5DC7964E" w:rsidR="006C5513" w:rsidRPr="00AC2747" w:rsidRDefault="006C5513" w:rsidP="00AC2747">
            <w:pPr>
              <w:pStyle w:val="Normaltable"/>
              <w:rPr>
                <w:b/>
                <w:bCs/>
                <w:color w:val="FFFFFF"/>
              </w:rPr>
            </w:pPr>
            <w:r w:rsidRPr="00AC2747">
              <w:rPr>
                <w:b/>
                <w:bCs/>
                <w:color w:val="FFFFFF"/>
              </w:rPr>
              <w:t xml:space="preserve">Section / </w:t>
            </w:r>
            <w:r w:rsidR="005625CC" w:rsidRPr="00AC2747">
              <w:rPr>
                <w:b/>
                <w:bCs/>
                <w:color w:val="FFFFFF"/>
              </w:rPr>
              <w:br/>
            </w:r>
            <w:r w:rsidRPr="00AC2747">
              <w:rPr>
                <w:b/>
                <w:bCs/>
                <w:color w:val="FFFFFF"/>
              </w:rPr>
              <w:t xml:space="preserve">Page </w:t>
            </w:r>
            <w:r w:rsidR="005625CC" w:rsidRPr="00AC2747">
              <w:rPr>
                <w:b/>
                <w:bCs/>
                <w:color w:val="FFFFFF"/>
              </w:rPr>
              <w:t>number</w:t>
            </w:r>
          </w:p>
          <w:p w14:paraId="69FB4F8F" w14:textId="68F13DC4" w:rsidR="006C5513" w:rsidRPr="00AC2747" w:rsidRDefault="006C5513" w:rsidP="00AC2747">
            <w:pPr>
              <w:pStyle w:val="Normaltable"/>
              <w:rPr>
                <w:color w:val="FFFFFF"/>
              </w:rPr>
            </w:pPr>
            <w:r w:rsidRPr="00AC2747">
              <w:rPr>
                <w:color w:val="FFFFFF"/>
              </w:rPr>
              <w:t>(if relevant)</w:t>
            </w:r>
          </w:p>
        </w:tc>
        <w:tc>
          <w:tcPr>
            <w:tcW w:w="62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35B77" w:themeFill="text2"/>
          </w:tcPr>
          <w:p w14:paraId="6927FDB5" w14:textId="492188B6" w:rsidR="006C5513" w:rsidRPr="00AC2747" w:rsidRDefault="006C5513" w:rsidP="00AC2747">
            <w:pPr>
              <w:pStyle w:val="Normaltable"/>
              <w:rPr>
                <w:b/>
                <w:bCs/>
                <w:color w:val="FFFFFF"/>
              </w:rPr>
            </w:pPr>
            <w:r w:rsidRPr="00AC2747">
              <w:rPr>
                <w:b/>
                <w:bCs/>
                <w:color w:val="FFFFFF"/>
              </w:rPr>
              <w:t>Issue</w:t>
            </w:r>
          </w:p>
        </w:tc>
        <w:tc>
          <w:tcPr>
            <w:tcW w:w="6913" w:type="dxa"/>
            <w:tcBorders>
              <w:left w:val="single" w:sz="4" w:space="0" w:color="FFFFFF"/>
            </w:tcBorders>
            <w:shd w:val="clear" w:color="auto" w:fill="035B77" w:themeFill="text2"/>
          </w:tcPr>
          <w:p w14:paraId="3E3D0403" w14:textId="4CDE124A" w:rsidR="006C5513" w:rsidRPr="00AC2747" w:rsidRDefault="006C5513" w:rsidP="00AC2747">
            <w:pPr>
              <w:pStyle w:val="Normaltable"/>
              <w:rPr>
                <w:b/>
                <w:bCs/>
                <w:color w:val="FFFFFF"/>
              </w:rPr>
            </w:pPr>
            <w:r w:rsidRPr="00AC2747">
              <w:rPr>
                <w:b/>
                <w:bCs/>
                <w:color w:val="FFFFFF"/>
              </w:rPr>
              <w:t xml:space="preserve">Proposed </w:t>
            </w:r>
            <w:r w:rsidR="005625CC" w:rsidRPr="00AC2747">
              <w:rPr>
                <w:b/>
                <w:bCs/>
                <w:color w:val="FFFFFF"/>
              </w:rPr>
              <w:t>change</w:t>
            </w:r>
          </w:p>
        </w:tc>
      </w:tr>
      <w:tr w:rsidR="00F8147A" w:rsidRPr="00D84FB9" w14:paraId="458C7903" w14:textId="77777777" w:rsidTr="001D3BDA">
        <w:tc>
          <w:tcPr>
            <w:tcW w:w="1696" w:type="dxa"/>
          </w:tcPr>
          <w:p w14:paraId="1DFA4E04" w14:textId="6DAE7C6D" w:rsidR="006C5513" w:rsidRPr="00D84FB9" w:rsidRDefault="00573DEE" w:rsidP="00AC2747">
            <w:pPr>
              <w:pStyle w:val="Normaltable"/>
            </w:pPr>
            <w:r w:rsidRPr="00573DEE">
              <w:t>Section 2.4</w:t>
            </w:r>
          </w:p>
        </w:tc>
        <w:tc>
          <w:tcPr>
            <w:tcW w:w="6237" w:type="dxa"/>
          </w:tcPr>
          <w:p w14:paraId="27E42190" w14:textId="77777777" w:rsidR="006C5513" w:rsidRDefault="00573DEE" w:rsidP="00937D5D">
            <w:pPr>
              <w:pStyle w:val="Normaltable"/>
            </w:pPr>
            <w:r w:rsidRPr="00573DEE">
              <w:t>Addition of a fifth drainage profile. Changes to the naming convention for several existing drainage profiles</w:t>
            </w:r>
          </w:p>
          <w:p w14:paraId="268FAE65" w14:textId="1EFC9284" w:rsidR="00BE1AC1" w:rsidRPr="00D84FB9" w:rsidRDefault="00BE1AC1" w:rsidP="00937D5D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71222258" w14:textId="3CCA1F02" w:rsidR="006C5513" w:rsidRPr="00C019A9" w:rsidRDefault="00845430" w:rsidP="00AC2747">
            <w:pPr>
              <w:pStyle w:val="Normaltable"/>
              <w:rPr>
                <w:color w:val="00B050"/>
              </w:rPr>
            </w:pPr>
            <w:r w:rsidRPr="00C019A9">
              <w:rPr>
                <w:color w:val="00B050"/>
              </w:rPr>
              <w:t>N/A</w:t>
            </w:r>
          </w:p>
        </w:tc>
      </w:tr>
      <w:tr w:rsidR="00EF7EBF" w:rsidRPr="00D84FB9" w14:paraId="07E0C988" w14:textId="77777777" w:rsidTr="001D3BDA">
        <w:tc>
          <w:tcPr>
            <w:tcW w:w="1696" w:type="dxa"/>
          </w:tcPr>
          <w:p w14:paraId="390B496C" w14:textId="336C3FAE" w:rsidR="00A05DFC" w:rsidRPr="00D84FB9" w:rsidRDefault="00A05DFC" w:rsidP="00A05DFC">
            <w:pPr>
              <w:pStyle w:val="Normaltable"/>
            </w:pPr>
            <w:r w:rsidRPr="00573DEE">
              <w:t>Section 2.4</w:t>
            </w:r>
          </w:p>
        </w:tc>
        <w:tc>
          <w:tcPr>
            <w:tcW w:w="6237" w:type="dxa"/>
          </w:tcPr>
          <w:p w14:paraId="75D2607A" w14:textId="77777777" w:rsidR="00A05DFC" w:rsidRDefault="00A05DFC" w:rsidP="00A05DFC">
            <w:pPr>
              <w:pStyle w:val="Normaltable"/>
            </w:pPr>
            <w:r w:rsidRPr="00A05DFC">
              <w:t>Increase of the minimum filter media depth from 400 mm to 600 mm. Removal of any additional depth requirements for trees</w:t>
            </w:r>
          </w:p>
          <w:p w14:paraId="338938CB" w14:textId="77777777" w:rsidR="00845430" w:rsidRDefault="00845430" w:rsidP="00A05DFC">
            <w:pPr>
              <w:pStyle w:val="Normaltable"/>
              <w:rPr>
                <w:color w:val="FFC000"/>
              </w:rPr>
            </w:pPr>
            <w:r w:rsidRPr="00C019A9">
              <w:rPr>
                <w:color w:val="FFC000"/>
              </w:rPr>
              <w:t xml:space="preserve">Comment: The </w:t>
            </w:r>
            <w:r w:rsidR="00661EE8" w:rsidRPr="00C019A9">
              <w:rPr>
                <w:color w:val="FFC000"/>
              </w:rPr>
              <w:t xml:space="preserve">need to increase the minimum depth of filter media to 600mm in order to support </w:t>
            </w:r>
            <w:r w:rsidR="009D1DDD" w:rsidRPr="00C019A9">
              <w:rPr>
                <w:color w:val="FFC000"/>
              </w:rPr>
              <w:t xml:space="preserve">the new </w:t>
            </w:r>
            <w:r w:rsidR="00661EE8" w:rsidRPr="00C019A9">
              <w:rPr>
                <w:color w:val="FFC000"/>
              </w:rPr>
              <w:t xml:space="preserve">default multi-story planting is </w:t>
            </w:r>
            <w:r w:rsidR="009D1DDD" w:rsidRPr="00C019A9">
              <w:rPr>
                <w:color w:val="FFC000"/>
              </w:rPr>
              <w:t xml:space="preserve">understood and </w:t>
            </w:r>
            <w:r w:rsidR="00661EE8" w:rsidRPr="00C019A9">
              <w:rPr>
                <w:color w:val="FFC000"/>
              </w:rPr>
              <w:t>supported. Notwithstanding, it is noted that this may be challenging in depth constrained environments such as</w:t>
            </w:r>
            <w:r w:rsidR="005C32A0">
              <w:rPr>
                <w:color w:val="FFC000"/>
              </w:rPr>
              <w:t xml:space="preserve"> flat sites</w:t>
            </w:r>
            <w:r w:rsidR="00141B4F">
              <w:rPr>
                <w:color w:val="FFC000"/>
              </w:rPr>
              <w:t xml:space="preserve"> and</w:t>
            </w:r>
            <w:r w:rsidR="00661EE8" w:rsidRPr="00C019A9">
              <w:rPr>
                <w:color w:val="FFC000"/>
              </w:rPr>
              <w:t xml:space="preserve"> </w:t>
            </w:r>
            <w:r w:rsidR="009D1DDD" w:rsidRPr="00C019A9">
              <w:rPr>
                <w:color w:val="FFC000"/>
              </w:rPr>
              <w:t>coastal areas with high groundwater</w:t>
            </w:r>
            <w:r w:rsidR="00007D54" w:rsidRPr="00C019A9">
              <w:rPr>
                <w:color w:val="FFC000"/>
              </w:rPr>
              <w:t>, tidal incursion or storm surge</w:t>
            </w:r>
            <w:r w:rsidR="006F1F07" w:rsidRPr="00C019A9">
              <w:rPr>
                <w:color w:val="FFC000"/>
              </w:rPr>
              <w:t xml:space="preserve">. Applying this in the field </w:t>
            </w:r>
            <w:r w:rsidR="009D1DDD" w:rsidRPr="00C019A9">
              <w:rPr>
                <w:color w:val="FFC000"/>
              </w:rPr>
              <w:t>may not always be practical.</w:t>
            </w:r>
            <w:r w:rsidR="00AC3783">
              <w:rPr>
                <w:color w:val="FFC000"/>
              </w:rPr>
              <w:t xml:space="preserve"> </w:t>
            </w:r>
          </w:p>
          <w:p w14:paraId="010C8C34" w14:textId="1D42E81D" w:rsidR="00704C5D" w:rsidRPr="00D84FB9" w:rsidRDefault="00704C5D" w:rsidP="00A05DFC">
            <w:pPr>
              <w:pStyle w:val="Normaltable"/>
            </w:pPr>
          </w:p>
        </w:tc>
        <w:tc>
          <w:tcPr>
            <w:tcW w:w="6913" w:type="dxa"/>
          </w:tcPr>
          <w:p w14:paraId="596B63CE" w14:textId="047EACDF" w:rsidR="00A05DFC" w:rsidRPr="00C019A9" w:rsidRDefault="004468C5" w:rsidP="00A05DFC">
            <w:pPr>
              <w:pStyle w:val="Normaltable"/>
              <w:rPr>
                <w:color w:val="FFC000"/>
              </w:rPr>
            </w:pPr>
            <w:r w:rsidRPr="00C019A9">
              <w:rPr>
                <w:color w:val="FFC000"/>
              </w:rPr>
              <w:t xml:space="preserve">It is suggested that the change in </w:t>
            </w:r>
            <w:r w:rsidR="00C019A9" w:rsidRPr="00C019A9">
              <w:rPr>
                <w:color w:val="FFC000"/>
              </w:rPr>
              <w:t>the minimum depth of filter media to 600mm</w:t>
            </w:r>
            <w:r w:rsidR="00C019A9" w:rsidRPr="00C019A9">
              <w:rPr>
                <w:color w:val="FFC000"/>
              </w:rPr>
              <w:t xml:space="preserve"> is retained but that some commentary about exceptions be provided</w:t>
            </w:r>
            <w:r w:rsidR="00141B4F">
              <w:rPr>
                <w:color w:val="FFC000"/>
              </w:rPr>
              <w:t xml:space="preserve"> to enable a performance-based approach as the exception rather than </w:t>
            </w:r>
            <w:r w:rsidR="00704C5D">
              <w:rPr>
                <w:color w:val="FFC000"/>
              </w:rPr>
              <w:t xml:space="preserve">the </w:t>
            </w:r>
            <w:r w:rsidR="00141B4F">
              <w:rPr>
                <w:color w:val="FFC000"/>
              </w:rPr>
              <w:t>rule</w:t>
            </w:r>
            <w:r w:rsidR="00C019A9" w:rsidRPr="00C019A9">
              <w:rPr>
                <w:color w:val="FFC000"/>
              </w:rPr>
              <w:t>.</w:t>
            </w:r>
          </w:p>
        </w:tc>
      </w:tr>
      <w:tr w:rsidR="00EF7EBF" w:rsidRPr="00D84FB9" w14:paraId="1EA621C9" w14:textId="77777777" w:rsidTr="001D3BDA">
        <w:tc>
          <w:tcPr>
            <w:tcW w:w="1696" w:type="dxa"/>
          </w:tcPr>
          <w:p w14:paraId="0F57870C" w14:textId="249386E9" w:rsidR="00781745" w:rsidRPr="00573DEE" w:rsidRDefault="00781745" w:rsidP="00781745">
            <w:pPr>
              <w:pStyle w:val="Normaltable"/>
            </w:pPr>
            <w:r w:rsidRPr="00A05DFC">
              <w:lastRenderedPageBreak/>
              <w:t>Section 2.6</w:t>
            </w:r>
          </w:p>
        </w:tc>
        <w:tc>
          <w:tcPr>
            <w:tcW w:w="6237" w:type="dxa"/>
          </w:tcPr>
          <w:p w14:paraId="5BD40251" w14:textId="77777777" w:rsidR="00781745" w:rsidRDefault="00781745" w:rsidP="00781745">
            <w:pPr>
              <w:pStyle w:val="Normaltable"/>
            </w:pPr>
            <w:r w:rsidRPr="00A05DFC">
              <w:t>New section on how to design bioretention for different geographic and climatic regions</w:t>
            </w:r>
            <w:r>
              <w:t>.</w:t>
            </w:r>
          </w:p>
          <w:p w14:paraId="2BE49D6B" w14:textId="715FC3CD" w:rsidR="00781745" w:rsidRPr="00A05DFC" w:rsidRDefault="00781745" w:rsidP="00781745">
            <w:pPr>
              <w:pStyle w:val="Normaltable"/>
            </w:pPr>
            <w:r w:rsidRPr="00845430">
              <w:rPr>
                <w:color w:val="00B050"/>
              </w:rPr>
              <w:t>Comment: Changes</w:t>
            </w:r>
            <w:r w:rsidR="00630A93">
              <w:rPr>
                <w:color w:val="00B050"/>
              </w:rPr>
              <w:t xml:space="preserve"> </w:t>
            </w:r>
            <w:r w:rsidR="00630A93">
              <w:rPr>
                <w:color w:val="00B050"/>
              </w:rPr>
              <w:t>generally</w:t>
            </w:r>
            <w:r w:rsidRPr="00845430">
              <w:rPr>
                <w:color w:val="00B050"/>
              </w:rPr>
              <w:t xml:space="preserve"> supported, no further comment.</w:t>
            </w:r>
          </w:p>
        </w:tc>
        <w:tc>
          <w:tcPr>
            <w:tcW w:w="6913" w:type="dxa"/>
          </w:tcPr>
          <w:p w14:paraId="7C77E556" w14:textId="46808A46" w:rsidR="00781745" w:rsidRPr="00D84FB9" w:rsidRDefault="00781745" w:rsidP="00781745">
            <w:pPr>
              <w:pStyle w:val="Normaltable"/>
            </w:pPr>
            <w:r w:rsidRPr="00C019A9">
              <w:rPr>
                <w:color w:val="00B050"/>
              </w:rPr>
              <w:t>N/A</w:t>
            </w:r>
          </w:p>
        </w:tc>
      </w:tr>
      <w:tr w:rsidR="00EF7EBF" w:rsidRPr="00D84FB9" w14:paraId="44DA0539" w14:textId="77777777" w:rsidTr="001D3BDA">
        <w:tc>
          <w:tcPr>
            <w:tcW w:w="1696" w:type="dxa"/>
          </w:tcPr>
          <w:p w14:paraId="37D82B42" w14:textId="77777777" w:rsidR="001F5E65" w:rsidRPr="005B0B6F" w:rsidRDefault="001F5E65" w:rsidP="001F5E65">
            <w:pPr>
              <w:pStyle w:val="Normaltable"/>
            </w:pPr>
            <w:r w:rsidRPr="005B0B6F">
              <w:t xml:space="preserve">Section 3.1 </w:t>
            </w:r>
          </w:p>
          <w:p w14:paraId="0E86EDA8" w14:textId="77777777" w:rsidR="001F5E65" w:rsidRPr="00573DEE" w:rsidRDefault="001F5E65" w:rsidP="001F5E65">
            <w:pPr>
              <w:pStyle w:val="Normaltable"/>
            </w:pPr>
          </w:p>
        </w:tc>
        <w:tc>
          <w:tcPr>
            <w:tcW w:w="6237" w:type="dxa"/>
          </w:tcPr>
          <w:p w14:paraId="221E4D37" w14:textId="77777777" w:rsidR="001F5E65" w:rsidRDefault="001F5E65" w:rsidP="001F5E65">
            <w:pPr>
              <w:pStyle w:val="Normaltable"/>
            </w:pPr>
            <w:r w:rsidRPr="005B0B6F">
              <w:t>New section on functional design</w:t>
            </w:r>
          </w:p>
          <w:p w14:paraId="40141159" w14:textId="7DAEAB71" w:rsidR="00593DD8" w:rsidRPr="008A4C4F" w:rsidRDefault="001F5E65" w:rsidP="001F5E65">
            <w:pPr>
              <w:pStyle w:val="Normaltable"/>
              <w:rPr>
                <w:color w:val="FFC000"/>
              </w:rPr>
            </w:pPr>
            <w:r w:rsidRPr="008A4C4F">
              <w:rPr>
                <w:color w:val="FFC000"/>
              </w:rPr>
              <w:t xml:space="preserve">Comment: </w:t>
            </w:r>
            <w:r w:rsidR="00F22421">
              <w:rPr>
                <w:color w:val="FFC000"/>
              </w:rPr>
              <w:t xml:space="preserve">These additions </w:t>
            </w:r>
            <w:r w:rsidR="00FC59D4" w:rsidRPr="008A4C4F">
              <w:rPr>
                <w:color w:val="FFC000"/>
              </w:rPr>
              <w:t xml:space="preserve">are considered a </w:t>
            </w:r>
            <w:r w:rsidR="00F22421">
              <w:rPr>
                <w:color w:val="FFC000"/>
              </w:rPr>
              <w:t xml:space="preserve">very </w:t>
            </w:r>
            <w:r w:rsidR="00FC59D4" w:rsidRPr="008A4C4F">
              <w:rPr>
                <w:color w:val="FFC000"/>
              </w:rPr>
              <w:t xml:space="preserve">valuable addition to the guidelines and </w:t>
            </w:r>
            <w:r w:rsidR="00F22421">
              <w:rPr>
                <w:color w:val="FFC000"/>
              </w:rPr>
              <w:t xml:space="preserve">are </w:t>
            </w:r>
            <w:r w:rsidRPr="008A4C4F">
              <w:rPr>
                <w:color w:val="FFC000"/>
              </w:rPr>
              <w:t>supported</w:t>
            </w:r>
            <w:r w:rsidR="00FC59D4" w:rsidRPr="008A4C4F">
              <w:rPr>
                <w:color w:val="FFC000"/>
              </w:rPr>
              <w:t>.</w:t>
            </w:r>
            <w:r w:rsidR="00187D1A">
              <w:rPr>
                <w:color w:val="FFC000"/>
              </w:rPr>
              <w:t xml:space="preserve"> Comments include the following:</w:t>
            </w:r>
          </w:p>
          <w:p w14:paraId="26012FFF" w14:textId="1E6FC182" w:rsidR="00187D1A" w:rsidRDefault="006F5CF3" w:rsidP="00D93DD8">
            <w:pPr>
              <w:pStyle w:val="Normaltable"/>
              <w:numPr>
                <w:ilvl w:val="0"/>
                <w:numId w:val="13"/>
              </w:numPr>
              <w:rPr>
                <w:color w:val="FFC000"/>
              </w:rPr>
            </w:pPr>
            <w:r w:rsidRPr="00187D1A">
              <w:rPr>
                <w:color w:val="FFC000"/>
              </w:rPr>
              <w:t>The changes include the comment that, ‘</w:t>
            </w:r>
            <w:r w:rsidRPr="00187D1A">
              <w:rPr>
                <w:i/>
                <w:iCs/>
                <w:color w:val="FFC000"/>
              </w:rPr>
              <w:t>It is critical that for bioretention systems delivered through the development assessment process, conceptual and functional design (at a minimum) are delivered for the planning stage of development assessment.</w:t>
            </w:r>
            <w:r w:rsidRPr="00187D1A">
              <w:rPr>
                <w:color w:val="FFC000"/>
              </w:rPr>
              <w:t>’</w:t>
            </w:r>
            <w:r w:rsidR="00967E22" w:rsidRPr="00187D1A">
              <w:rPr>
                <w:color w:val="FFC000"/>
              </w:rPr>
              <w:t xml:space="preserve"> While this is correct, it would be </w:t>
            </w:r>
            <w:r w:rsidR="00593DD8" w:rsidRPr="00187D1A">
              <w:rPr>
                <w:color w:val="FFC000"/>
              </w:rPr>
              <w:t xml:space="preserve">valuable to the reader to also </w:t>
            </w:r>
            <w:r w:rsidR="00967E22" w:rsidRPr="00187D1A">
              <w:rPr>
                <w:color w:val="FFC000"/>
              </w:rPr>
              <w:t xml:space="preserve">explain why </w:t>
            </w:r>
            <w:r w:rsidR="008A4C4F" w:rsidRPr="00187D1A">
              <w:rPr>
                <w:color w:val="FFC000"/>
              </w:rPr>
              <w:t>it</w:t>
            </w:r>
            <w:r w:rsidR="00967E22" w:rsidRPr="00187D1A">
              <w:rPr>
                <w:color w:val="FFC000"/>
              </w:rPr>
              <w:t xml:space="preserve"> is important and the consequences of not following the ad</w:t>
            </w:r>
            <w:r w:rsidR="00593DD8" w:rsidRPr="00187D1A">
              <w:rPr>
                <w:color w:val="FFC000"/>
              </w:rPr>
              <w:t>vice</w:t>
            </w:r>
            <w:r w:rsidR="00EF23B1" w:rsidRPr="00187D1A">
              <w:rPr>
                <w:color w:val="FFC000"/>
              </w:rPr>
              <w:t xml:space="preserve"> i.e.</w:t>
            </w:r>
            <w:r w:rsidR="004305EC">
              <w:rPr>
                <w:color w:val="FFC000"/>
              </w:rPr>
              <w:t>:</w:t>
            </w:r>
            <w:r w:rsidR="00EF23B1" w:rsidRPr="00187D1A">
              <w:rPr>
                <w:color w:val="FFC000"/>
              </w:rPr>
              <w:t xml:space="preserve"> approvals which cannot be implemented</w:t>
            </w:r>
            <w:r w:rsidR="004305EC">
              <w:rPr>
                <w:color w:val="FFC000"/>
              </w:rPr>
              <w:t>;</w:t>
            </w:r>
            <w:r w:rsidR="00EF23B1" w:rsidRPr="00187D1A">
              <w:rPr>
                <w:color w:val="FFC000"/>
              </w:rPr>
              <w:t xml:space="preserve"> the need for changes in development </w:t>
            </w:r>
            <w:r w:rsidR="00E03027" w:rsidRPr="00187D1A">
              <w:rPr>
                <w:color w:val="FFC000"/>
              </w:rPr>
              <w:t>approvals</w:t>
            </w:r>
            <w:r w:rsidR="004305EC">
              <w:rPr>
                <w:color w:val="FFC000"/>
              </w:rPr>
              <w:t>;</w:t>
            </w:r>
            <w:r w:rsidR="00EF23B1" w:rsidRPr="00187D1A">
              <w:rPr>
                <w:color w:val="FFC000"/>
              </w:rPr>
              <w:t xml:space="preserve"> </w:t>
            </w:r>
            <w:r w:rsidR="00E03027" w:rsidRPr="00187D1A">
              <w:rPr>
                <w:color w:val="FFC000"/>
              </w:rPr>
              <w:t>projects</w:t>
            </w:r>
            <w:r w:rsidR="000C58EE">
              <w:rPr>
                <w:color w:val="FFC000"/>
              </w:rPr>
              <w:t>/application</w:t>
            </w:r>
            <w:r w:rsidR="00E03027" w:rsidRPr="00187D1A">
              <w:rPr>
                <w:color w:val="FFC000"/>
              </w:rPr>
              <w:t xml:space="preserve"> delays</w:t>
            </w:r>
            <w:r w:rsidR="004305EC">
              <w:rPr>
                <w:color w:val="FFC000"/>
              </w:rPr>
              <w:t>:</w:t>
            </w:r>
            <w:r w:rsidR="00E03027" w:rsidRPr="00187D1A">
              <w:rPr>
                <w:color w:val="FFC000"/>
              </w:rPr>
              <w:t xml:space="preserve"> increased costs for the developer</w:t>
            </w:r>
            <w:r w:rsidR="004305EC">
              <w:rPr>
                <w:color w:val="FFC000"/>
              </w:rPr>
              <w:t xml:space="preserve">; </w:t>
            </w:r>
            <w:r w:rsidR="00E03027" w:rsidRPr="00187D1A">
              <w:rPr>
                <w:color w:val="FFC000"/>
              </w:rPr>
              <w:t xml:space="preserve">non-compliance with water </w:t>
            </w:r>
            <w:r w:rsidR="00E27562" w:rsidRPr="00187D1A">
              <w:rPr>
                <w:color w:val="FFC000"/>
              </w:rPr>
              <w:t>quality objectives.</w:t>
            </w:r>
          </w:p>
          <w:p w14:paraId="53604C7C" w14:textId="60BA3227" w:rsidR="00187D1A" w:rsidRPr="007B4570" w:rsidRDefault="0066719A" w:rsidP="00F95283">
            <w:pPr>
              <w:pStyle w:val="Normaltable"/>
              <w:numPr>
                <w:ilvl w:val="0"/>
                <w:numId w:val="13"/>
              </w:numPr>
              <w:rPr>
                <w:color w:val="FFC000"/>
              </w:rPr>
            </w:pPr>
            <w:r w:rsidRPr="00187D1A">
              <w:rPr>
                <w:color w:val="FFC000"/>
              </w:rPr>
              <w:t xml:space="preserve">Similarly, </w:t>
            </w:r>
            <w:r w:rsidR="00925CF5" w:rsidRPr="00187D1A">
              <w:rPr>
                <w:color w:val="FFC000"/>
              </w:rPr>
              <w:t xml:space="preserve">reflecting the </w:t>
            </w:r>
            <w:r w:rsidR="00925CF5" w:rsidRPr="00187D1A">
              <w:rPr>
                <w:color w:val="FFC000"/>
              </w:rPr>
              <w:t>Queensland planning process</w:t>
            </w:r>
            <w:r w:rsidR="00925CF5" w:rsidRPr="00187D1A">
              <w:rPr>
                <w:color w:val="FFC000"/>
              </w:rPr>
              <w:t xml:space="preserve"> </w:t>
            </w:r>
            <w:r w:rsidR="008D196F">
              <w:rPr>
                <w:color w:val="FFC000"/>
              </w:rPr>
              <w:t>in</w:t>
            </w:r>
            <w:r w:rsidR="00925CF5" w:rsidRPr="00187D1A">
              <w:rPr>
                <w:color w:val="FFC000"/>
              </w:rPr>
              <w:t xml:space="preserve"> </w:t>
            </w:r>
            <w:r w:rsidR="00925CF5" w:rsidRPr="00187D1A">
              <w:rPr>
                <w:i/>
                <w:iCs/>
                <w:color w:val="FFC000"/>
              </w:rPr>
              <w:t>Figure 15. Bioretention design process</w:t>
            </w:r>
            <w:r w:rsidR="00925CF5" w:rsidRPr="00187D1A">
              <w:rPr>
                <w:i/>
                <w:iCs/>
                <w:color w:val="FFC000"/>
              </w:rPr>
              <w:t xml:space="preserve">, </w:t>
            </w:r>
            <w:r w:rsidR="00925CF5" w:rsidRPr="00187D1A">
              <w:rPr>
                <w:color w:val="FFC000"/>
              </w:rPr>
              <w:t>would</w:t>
            </w:r>
            <w:r w:rsidR="00925CF5" w:rsidRPr="00187D1A">
              <w:rPr>
                <w:i/>
                <w:iCs/>
                <w:color w:val="FFC000"/>
              </w:rPr>
              <w:t xml:space="preserve"> </w:t>
            </w:r>
            <w:r w:rsidR="00925CF5" w:rsidRPr="00187D1A">
              <w:rPr>
                <w:color w:val="FFC000"/>
              </w:rPr>
              <w:t xml:space="preserve">help development assessment staff </w:t>
            </w:r>
            <w:r w:rsidR="008A4C4F" w:rsidRPr="007B4570">
              <w:rPr>
                <w:color w:val="FFC000"/>
              </w:rPr>
              <w:lastRenderedPageBreak/>
              <w:t>understand the design process as it relates to the planning process.</w:t>
            </w:r>
            <w:r w:rsidR="008D196F">
              <w:rPr>
                <w:color w:val="FFC000"/>
              </w:rPr>
              <w:t xml:space="preserve"> </w:t>
            </w:r>
          </w:p>
          <w:p w14:paraId="2BEDA562" w14:textId="69AEC5C3" w:rsidR="00187D1A" w:rsidRPr="007B4570" w:rsidRDefault="006A05C5" w:rsidP="001E03A7">
            <w:pPr>
              <w:pStyle w:val="Normaltable"/>
              <w:numPr>
                <w:ilvl w:val="0"/>
                <w:numId w:val="13"/>
              </w:numPr>
              <w:rPr>
                <w:color w:val="FFC000"/>
              </w:rPr>
            </w:pPr>
            <w:r w:rsidRPr="007B4570">
              <w:rPr>
                <w:color w:val="FFC000"/>
              </w:rPr>
              <w:t>The guidelines suggest th</w:t>
            </w:r>
            <w:r w:rsidR="007B4570" w:rsidRPr="007B4570">
              <w:rPr>
                <w:color w:val="FFC000"/>
              </w:rPr>
              <w:t>at constrained sites can be managed by, ‘</w:t>
            </w:r>
            <w:r w:rsidRPr="007B4570">
              <w:rPr>
                <w:i/>
                <w:iCs/>
                <w:color w:val="FFC000"/>
              </w:rPr>
              <w:t>judicious use of steeper batters or walls, ensuring that a safe and aesthetic outcome is still achieved</w:t>
            </w:r>
            <w:r w:rsidR="007B4570" w:rsidRPr="007B4570">
              <w:rPr>
                <w:i/>
                <w:iCs/>
                <w:color w:val="FFC000"/>
              </w:rPr>
              <w:t>.</w:t>
            </w:r>
            <w:r w:rsidR="007B4570" w:rsidRPr="007B4570">
              <w:rPr>
                <w:color w:val="FFC000"/>
              </w:rPr>
              <w:t xml:space="preserve">’ </w:t>
            </w:r>
            <w:r w:rsidR="00D20002">
              <w:rPr>
                <w:color w:val="FFC000"/>
              </w:rPr>
              <w:t xml:space="preserve">It is suggested that this section should refer to </w:t>
            </w:r>
            <w:r w:rsidR="006D25C7">
              <w:rPr>
                <w:color w:val="FFC000"/>
              </w:rPr>
              <w:t>S</w:t>
            </w:r>
            <w:r w:rsidR="00D20002">
              <w:rPr>
                <w:color w:val="FFC000"/>
              </w:rPr>
              <w:t xml:space="preserve">ection </w:t>
            </w:r>
            <w:r w:rsidR="006D25C7" w:rsidRPr="006D25C7">
              <w:rPr>
                <w:color w:val="FFC000"/>
              </w:rPr>
              <w:t>3.4.5.5</w:t>
            </w:r>
            <w:r w:rsidR="006D25C7">
              <w:rPr>
                <w:color w:val="FFC000"/>
              </w:rPr>
              <w:t xml:space="preserve"> for further advice on use of walls.</w:t>
            </w:r>
          </w:p>
          <w:p w14:paraId="6957F742" w14:textId="4C4B7E48" w:rsidR="0089056D" w:rsidRPr="00925CF5" w:rsidRDefault="0089056D" w:rsidP="00592E3F">
            <w:pPr>
              <w:pStyle w:val="Normaltable"/>
              <w:ind w:left="360"/>
            </w:pPr>
          </w:p>
        </w:tc>
        <w:tc>
          <w:tcPr>
            <w:tcW w:w="6913" w:type="dxa"/>
          </w:tcPr>
          <w:p w14:paraId="4863E47C" w14:textId="012720AE" w:rsidR="001F5E65" w:rsidRPr="008A4C4F" w:rsidRDefault="0066719A" w:rsidP="001F5E65">
            <w:pPr>
              <w:pStyle w:val="Normaltable"/>
              <w:rPr>
                <w:color w:val="FFC000"/>
              </w:rPr>
            </w:pPr>
            <w:r w:rsidRPr="008A4C4F">
              <w:rPr>
                <w:color w:val="FFC000"/>
              </w:rPr>
              <w:lastRenderedPageBreak/>
              <w:t xml:space="preserve">1. </w:t>
            </w:r>
            <w:r w:rsidR="00400259" w:rsidRPr="008A4C4F">
              <w:rPr>
                <w:color w:val="FFC000"/>
              </w:rPr>
              <w:t xml:space="preserve">Provide explanation as to why providing </w:t>
            </w:r>
            <w:r w:rsidRPr="008A4C4F">
              <w:rPr>
                <w:color w:val="FFC000"/>
              </w:rPr>
              <w:t xml:space="preserve">functional or detailed design at the planning stage is </w:t>
            </w:r>
            <w:r w:rsidRPr="008A4C4F">
              <w:rPr>
                <w:color w:val="FFC000"/>
              </w:rPr>
              <w:t>important and the consequences of not following the advice</w:t>
            </w:r>
            <w:r w:rsidR="00EF23B1">
              <w:rPr>
                <w:color w:val="FFC000"/>
              </w:rPr>
              <w:t>.</w:t>
            </w:r>
          </w:p>
          <w:p w14:paraId="2334DB7E" w14:textId="77777777" w:rsidR="0066719A" w:rsidRDefault="0066719A" w:rsidP="001F5E65">
            <w:pPr>
              <w:pStyle w:val="Normaltable"/>
              <w:rPr>
                <w:color w:val="FFC000"/>
              </w:rPr>
            </w:pPr>
            <w:r w:rsidRPr="008A4C4F">
              <w:rPr>
                <w:color w:val="FFC000"/>
              </w:rPr>
              <w:t>2.  I</w:t>
            </w:r>
            <w:r w:rsidRPr="008A4C4F">
              <w:rPr>
                <w:color w:val="FFC000"/>
              </w:rPr>
              <w:t xml:space="preserve">t is also recommended that </w:t>
            </w:r>
            <w:r w:rsidRPr="008A4C4F">
              <w:rPr>
                <w:i/>
                <w:iCs/>
                <w:color w:val="FFC000"/>
              </w:rPr>
              <w:t xml:space="preserve">Figure 15. Bioretention design process, </w:t>
            </w:r>
            <w:r w:rsidRPr="008A4C4F">
              <w:rPr>
                <w:color w:val="FFC000"/>
              </w:rPr>
              <w:t>be updated to show the stages of the Queensland planning process for both reconfiguration of a lot (RoL) and material change of use (MCU) applications - a simple but valuable addition.</w:t>
            </w:r>
          </w:p>
          <w:p w14:paraId="6EB585C7" w14:textId="7E3E8E6B" w:rsidR="00441704" w:rsidRPr="008E2B6B" w:rsidRDefault="007B4570" w:rsidP="006D25C7">
            <w:pPr>
              <w:pStyle w:val="Normaltable"/>
              <w:rPr>
                <w:color w:val="FFC000"/>
              </w:rPr>
            </w:pPr>
            <w:r>
              <w:rPr>
                <w:color w:val="FFC000"/>
              </w:rPr>
              <w:t xml:space="preserve">3. </w:t>
            </w:r>
            <w:r w:rsidR="006D25C7">
              <w:rPr>
                <w:color w:val="FFC000"/>
              </w:rPr>
              <w:t xml:space="preserve">It is recommended </w:t>
            </w:r>
            <w:r w:rsidR="006D25C7" w:rsidRPr="006D25C7">
              <w:rPr>
                <w:color w:val="FFC000"/>
              </w:rPr>
              <w:t>that this section should refer to Section 3.4.5.5 for further advice on use of walls.</w:t>
            </w:r>
          </w:p>
        </w:tc>
      </w:tr>
      <w:tr w:rsidR="00EF7EBF" w:rsidRPr="00D84FB9" w14:paraId="7AE2D1C7" w14:textId="77777777" w:rsidTr="001D3BDA">
        <w:tc>
          <w:tcPr>
            <w:tcW w:w="1696" w:type="dxa"/>
          </w:tcPr>
          <w:p w14:paraId="3F919140" w14:textId="4688EC3D" w:rsidR="001F5E65" w:rsidRPr="00573DEE" w:rsidRDefault="001F5E65" w:rsidP="001F5E65">
            <w:pPr>
              <w:pStyle w:val="Normaltable"/>
            </w:pPr>
            <w:r w:rsidRPr="00643A4B">
              <w:t>Section 3.3.2.1</w:t>
            </w:r>
          </w:p>
        </w:tc>
        <w:tc>
          <w:tcPr>
            <w:tcW w:w="6237" w:type="dxa"/>
          </w:tcPr>
          <w:p w14:paraId="5FD38576" w14:textId="77777777" w:rsidR="001F5E65" w:rsidRPr="004569FC" w:rsidRDefault="001F5E65" w:rsidP="001F5E65">
            <w:pPr>
              <w:pStyle w:val="Normaltable"/>
            </w:pPr>
            <w:r w:rsidRPr="004569FC">
              <w:t>Updated guidance on filter media specifications</w:t>
            </w:r>
          </w:p>
          <w:p w14:paraId="44F37DC3" w14:textId="12771EEC" w:rsidR="00E45B3C" w:rsidRPr="004569FC" w:rsidRDefault="004569FC" w:rsidP="001F5E65">
            <w:pPr>
              <w:pStyle w:val="Normaltable"/>
              <w:rPr>
                <w:color w:val="FF0000"/>
              </w:rPr>
            </w:pPr>
            <w:r w:rsidRPr="004569FC">
              <w:rPr>
                <w:color w:val="FF0000"/>
              </w:rPr>
              <w:t xml:space="preserve">Comment: </w:t>
            </w:r>
            <w:r w:rsidR="00C60C0D" w:rsidRPr="004569FC">
              <w:rPr>
                <w:color w:val="FF0000"/>
              </w:rPr>
              <w:t xml:space="preserve">Stormwater Queensland does </w:t>
            </w:r>
            <w:r w:rsidR="00D75037" w:rsidRPr="004569FC">
              <w:rPr>
                <w:color w:val="FF0000"/>
              </w:rPr>
              <w:t xml:space="preserve">support the advice that the default specification should be the </w:t>
            </w:r>
            <w:r w:rsidR="00D75037" w:rsidRPr="004569FC">
              <w:rPr>
                <w:i/>
                <w:iCs/>
                <w:color w:val="FF0000"/>
              </w:rPr>
              <w:t>Adoption Guidelines for Stormwater Biofiltration Systems</w:t>
            </w:r>
            <w:r w:rsidR="00D75037" w:rsidRPr="004569FC">
              <w:rPr>
                <w:color w:val="FF0000"/>
              </w:rPr>
              <w:t xml:space="preserve"> (CRCWSC)</w:t>
            </w:r>
            <w:r w:rsidR="00D75037" w:rsidRPr="004569FC">
              <w:rPr>
                <w:color w:val="FF0000"/>
              </w:rPr>
              <w:t>. Specifically, it is noted that:</w:t>
            </w:r>
          </w:p>
          <w:p w14:paraId="64D110E6" w14:textId="143DF638" w:rsidR="003455CD" w:rsidRPr="003455CD" w:rsidRDefault="003455CD" w:rsidP="00FF5F18">
            <w:pPr>
              <w:pStyle w:val="Normaltable"/>
              <w:numPr>
                <w:ilvl w:val="0"/>
                <w:numId w:val="15"/>
              </w:numPr>
              <w:rPr>
                <w:color w:val="FF0000"/>
              </w:rPr>
            </w:pPr>
            <w:r w:rsidRPr="004569FC">
              <w:rPr>
                <w:color w:val="FF0000"/>
              </w:rPr>
              <w:t xml:space="preserve">There is nothing, to the best of our knowledge, which is controversial in the </w:t>
            </w:r>
            <w:r w:rsidRPr="003455CD">
              <w:rPr>
                <w:i/>
                <w:iCs/>
                <w:color w:val="FF0000"/>
              </w:rPr>
              <w:t xml:space="preserve">Specifications for Bioretention Filter Media </w:t>
            </w:r>
            <w:r w:rsidRPr="003455CD">
              <w:rPr>
                <w:color w:val="FF0000"/>
              </w:rPr>
              <w:t>(Water by Design)</w:t>
            </w:r>
            <w:r w:rsidR="0097100E">
              <w:rPr>
                <w:color w:val="FF0000"/>
              </w:rPr>
              <w:t>.</w:t>
            </w:r>
            <w:r w:rsidR="00E2533B">
              <w:rPr>
                <w:color w:val="FF0000"/>
              </w:rPr>
              <w:t xml:space="preserve"> This is especially the case as </w:t>
            </w:r>
            <w:r w:rsidR="00F64E64">
              <w:rPr>
                <w:color w:val="FF0000"/>
              </w:rPr>
              <w:t>the specification</w:t>
            </w:r>
            <w:r w:rsidR="00E2533B">
              <w:rPr>
                <w:color w:val="FF0000"/>
              </w:rPr>
              <w:t xml:space="preserve"> is supported by the scientific literature review.</w:t>
            </w:r>
          </w:p>
          <w:p w14:paraId="196E054C" w14:textId="064512AB" w:rsidR="003B1A96" w:rsidRDefault="006A6007" w:rsidP="003455CD">
            <w:pPr>
              <w:pStyle w:val="Normaltable"/>
              <w:numPr>
                <w:ilvl w:val="0"/>
                <w:numId w:val="15"/>
              </w:numPr>
              <w:rPr>
                <w:color w:val="FF0000"/>
              </w:rPr>
            </w:pPr>
            <w:r w:rsidRPr="004569FC">
              <w:rPr>
                <w:color w:val="FF0000"/>
              </w:rPr>
              <w:t xml:space="preserve">The </w:t>
            </w:r>
            <w:r w:rsidRPr="003455CD">
              <w:rPr>
                <w:i/>
                <w:iCs/>
                <w:color w:val="FF0000"/>
              </w:rPr>
              <w:t xml:space="preserve">Specifications for Bioretention Filter Media </w:t>
            </w:r>
            <w:r w:rsidRPr="003455CD">
              <w:rPr>
                <w:color w:val="FF0000"/>
              </w:rPr>
              <w:t>(Water by Design)</w:t>
            </w:r>
            <w:r w:rsidRPr="004569FC">
              <w:rPr>
                <w:color w:val="FF0000"/>
              </w:rPr>
              <w:t xml:space="preserve"> are based upon a significant</w:t>
            </w:r>
            <w:r w:rsidR="003B1A96">
              <w:rPr>
                <w:color w:val="FF0000"/>
              </w:rPr>
              <w:t>ly</w:t>
            </w:r>
            <w:r w:rsidRPr="004569FC">
              <w:rPr>
                <w:color w:val="FF0000"/>
              </w:rPr>
              <w:t xml:space="preserve"> greater review of scientific literature compared to </w:t>
            </w:r>
            <w:r w:rsidRPr="004569FC">
              <w:rPr>
                <w:i/>
                <w:iCs/>
                <w:color w:val="FF0000"/>
              </w:rPr>
              <w:t xml:space="preserve">Adoption Guidelines for Stormwater Biofiltration </w:t>
            </w:r>
            <w:r w:rsidRPr="004569FC">
              <w:rPr>
                <w:i/>
                <w:iCs/>
                <w:color w:val="FF0000"/>
              </w:rPr>
              <w:lastRenderedPageBreak/>
              <w:t>Systems</w:t>
            </w:r>
            <w:r w:rsidRPr="004569FC">
              <w:rPr>
                <w:color w:val="FF0000"/>
              </w:rPr>
              <w:t xml:space="preserve"> (CRCWSC).</w:t>
            </w:r>
            <w:r w:rsidR="00D41463" w:rsidRPr="004569FC">
              <w:rPr>
                <w:color w:val="FF0000"/>
              </w:rPr>
              <w:t xml:space="preserve"> </w:t>
            </w:r>
            <w:r w:rsidR="0082084A">
              <w:rPr>
                <w:color w:val="FF0000"/>
              </w:rPr>
              <w:t>Compare</w:t>
            </w:r>
            <w:r w:rsidR="00D41463" w:rsidRPr="004569FC">
              <w:rPr>
                <w:color w:val="FF0000"/>
              </w:rPr>
              <w:t xml:space="preserve"> the </w:t>
            </w:r>
            <w:r w:rsidR="003B1A96">
              <w:rPr>
                <w:color w:val="FF0000"/>
              </w:rPr>
              <w:t xml:space="preserve">list of </w:t>
            </w:r>
            <w:r w:rsidR="008272F5" w:rsidRPr="004569FC">
              <w:rPr>
                <w:color w:val="FF0000"/>
              </w:rPr>
              <w:t>references of each specification</w:t>
            </w:r>
            <w:r w:rsidR="003228B1">
              <w:rPr>
                <w:color w:val="FF0000"/>
              </w:rPr>
              <w:t>:</w:t>
            </w:r>
          </w:p>
          <w:p w14:paraId="7E663DA8" w14:textId="523C02BB" w:rsidR="003228B1" w:rsidRDefault="003228B1" w:rsidP="003228B1">
            <w:pPr>
              <w:pStyle w:val="Normaltable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407184E" wp14:editId="080AE18B">
                  <wp:extent cx="3798179" cy="2200275"/>
                  <wp:effectExtent l="0" t="0" r="0" b="0"/>
                  <wp:docPr id="12239019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841" cy="2201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CE9308" w14:textId="010CF45A" w:rsidR="006A6007" w:rsidRPr="004569FC" w:rsidRDefault="00E90702" w:rsidP="003455CD">
            <w:pPr>
              <w:pStyle w:val="Normaltable"/>
              <w:numPr>
                <w:ilvl w:val="0"/>
                <w:numId w:val="15"/>
              </w:numPr>
              <w:rPr>
                <w:color w:val="FF0000"/>
              </w:rPr>
            </w:pPr>
            <w:r>
              <w:rPr>
                <w:color w:val="FF0000"/>
              </w:rPr>
              <w:t xml:space="preserve">Also consider the </w:t>
            </w:r>
            <w:r w:rsidR="00A63CC6">
              <w:rPr>
                <w:color w:val="FF0000"/>
              </w:rPr>
              <w:t>original</w:t>
            </w:r>
            <w:r>
              <w:rPr>
                <w:color w:val="FF0000"/>
              </w:rPr>
              <w:t xml:space="preserve"> FAWB </w:t>
            </w:r>
            <w:r w:rsidR="00A63CC6">
              <w:rPr>
                <w:color w:val="FF0000"/>
              </w:rPr>
              <w:t>s</w:t>
            </w:r>
            <w:r w:rsidR="003B1A96">
              <w:rPr>
                <w:color w:val="FF0000"/>
              </w:rPr>
              <w:t>pecifications</w:t>
            </w:r>
            <w:r>
              <w:rPr>
                <w:color w:val="FF0000"/>
              </w:rPr>
              <w:t xml:space="preserve"> are </w:t>
            </w:r>
            <w:r w:rsidR="000D17A9">
              <w:rPr>
                <w:color w:val="FF0000"/>
              </w:rPr>
              <w:t xml:space="preserve">supported by </w:t>
            </w:r>
            <w:r>
              <w:rPr>
                <w:color w:val="FF0000"/>
              </w:rPr>
              <w:t xml:space="preserve">only a few </w:t>
            </w:r>
            <w:r w:rsidR="00A63CC6">
              <w:rPr>
                <w:color w:val="FF0000"/>
              </w:rPr>
              <w:t>scientific</w:t>
            </w:r>
            <w:r w:rsidR="00C321B7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references and </w:t>
            </w:r>
            <w:r w:rsidR="00A63CC6">
              <w:rPr>
                <w:color w:val="FF0000"/>
              </w:rPr>
              <w:t xml:space="preserve">are </w:t>
            </w:r>
            <w:r w:rsidR="00C321B7">
              <w:rPr>
                <w:color w:val="FF0000"/>
              </w:rPr>
              <w:t xml:space="preserve">actually </w:t>
            </w:r>
            <w:r>
              <w:rPr>
                <w:color w:val="FF0000"/>
              </w:rPr>
              <w:t>b</w:t>
            </w:r>
            <w:r w:rsidR="00C321B7">
              <w:rPr>
                <w:color w:val="FF0000"/>
              </w:rPr>
              <w:t>ased on a gol</w:t>
            </w:r>
            <w:r w:rsidR="00A63CC6">
              <w:rPr>
                <w:color w:val="FF0000"/>
              </w:rPr>
              <w:t>f</w:t>
            </w:r>
            <w:r w:rsidR="00C321B7">
              <w:rPr>
                <w:color w:val="FF0000"/>
              </w:rPr>
              <w:t xml:space="preserve"> coarse green specification</w:t>
            </w:r>
            <w:r w:rsidR="000D17A9">
              <w:rPr>
                <w:color w:val="FF0000"/>
              </w:rPr>
              <w:t xml:space="preserve"> which was </w:t>
            </w:r>
            <w:r w:rsidR="00C321B7">
              <w:rPr>
                <w:color w:val="FF0000"/>
              </w:rPr>
              <w:t xml:space="preserve">not intended for water quality treatment </w:t>
            </w:r>
            <w:r w:rsidR="00A63CC6">
              <w:rPr>
                <w:color w:val="FF0000"/>
              </w:rPr>
              <w:t xml:space="preserve">and plant survival </w:t>
            </w:r>
            <w:r w:rsidR="000D17A9">
              <w:rPr>
                <w:color w:val="FF0000"/>
              </w:rPr>
              <w:t xml:space="preserve">and assumed </w:t>
            </w:r>
            <w:r w:rsidR="00A63CC6">
              <w:rPr>
                <w:color w:val="FF0000"/>
              </w:rPr>
              <w:t>high</w:t>
            </w:r>
            <w:r w:rsidR="000D17A9">
              <w:rPr>
                <w:color w:val="FF0000"/>
              </w:rPr>
              <w:t>/frequent</w:t>
            </w:r>
            <w:r w:rsidR="00A63CC6">
              <w:rPr>
                <w:color w:val="FF0000"/>
              </w:rPr>
              <w:t xml:space="preserve"> fertilizer </w:t>
            </w:r>
            <w:r w:rsidR="00922BCC">
              <w:rPr>
                <w:color w:val="FF0000"/>
              </w:rPr>
              <w:t xml:space="preserve">application </w:t>
            </w:r>
            <w:r w:rsidR="00A63CC6">
              <w:rPr>
                <w:color w:val="FF0000"/>
              </w:rPr>
              <w:t xml:space="preserve">and </w:t>
            </w:r>
            <w:r w:rsidR="00F316D5">
              <w:rPr>
                <w:color w:val="FF0000"/>
              </w:rPr>
              <w:t xml:space="preserve">daily </w:t>
            </w:r>
            <w:r w:rsidR="00922BCC">
              <w:rPr>
                <w:color w:val="FF0000"/>
              </w:rPr>
              <w:t>irrigation</w:t>
            </w:r>
            <w:r w:rsidR="00A63CC6">
              <w:rPr>
                <w:color w:val="FF0000"/>
              </w:rPr>
              <w:t xml:space="preserve">. </w:t>
            </w:r>
            <w:r w:rsidR="00A63CC6" w:rsidRPr="004569FC">
              <w:rPr>
                <w:color w:val="FF0000"/>
              </w:rPr>
              <w:t xml:space="preserve">If anything, the CRCWSC is the more controversial </w:t>
            </w:r>
            <w:r w:rsidR="00A63CC6">
              <w:rPr>
                <w:color w:val="FF0000"/>
              </w:rPr>
              <w:t xml:space="preserve">specification </w:t>
            </w:r>
            <w:r w:rsidR="00A63CC6" w:rsidRPr="004569FC">
              <w:rPr>
                <w:color w:val="FF0000"/>
              </w:rPr>
              <w:t>from a scientific standpoint.</w:t>
            </w:r>
            <w:r w:rsidR="00800668">
              <w:rPr>
                <w:color w:val="FF0000"/>
              </w:rPr>
              <w:t xml:space="preserve"> That it has been adopted more broadly does mean it </w:t>
            </w:r>
            <w:r w:rsidR="008678E1">
              <w:rPr>
                <w:color w:val="FF0000"/>
              </w:rPr>
              <w:t>more accurately meets the needs of bioretention systems.</w:t>
            </w:r>
          </w:p>
          <w:p w14:paraId="4EA2ECB0" w14:textId="7DF782B1" w:rsidR="008D1E50" w:rsidRPr="004569FC" w:rsidRDefault="003455CD" w:rsidP="003455CD">
            <w:pPr>
              <w:pStyle w:val="Normaltable"/>
              <w:numPr>
                <w:ilvl w:val="0"/>
                <w:numId w:val="15"/>
              </w:numPr>
              <w:rPr>
                <w:color w:val="FF0000"/>
              </w:rPr>
            </w:pPr>
            <w:r w:rsidRPr="004569FC">
              <w:rPr>
                <w:color w:val="FF0000"/>
              </w:rPr>
              <w:t>The</w:t>
            </w:r>
            <w:r w:rsidRPr="004569FC">
              <w:rPr>
                <w:i/>
                <w:iCs/>
                <w:color w:val="FF0000"/>
              </w:rPr>
              <w:t xml:space="preserve"> </w:t>
            </w:r>
            <w:r w:rsidRPr="003455CD">
              <w:rPr>
                <w:i/>
                <w:iCs/>
                <w:color w:val="FF0000"/>
              </w:rPr>
              <w:t xml:space="preserve">Specifications for Bioretention Filter Media </w:t>
            </w:r>
            <w:r w:rsidRPr="003455CD">
              <w:rPr>
                <w:color w:val="FF0000"/>
              </w:rPr>
              <w:t>(Water by Design)</w:t>
            </w:r>
            <w:r w:rsidRPr="004569FC">
              <w:rPr>
                <w:color w:val="FF0000"/>
              </w:rPr>
              <w:t xml:space="preserve"> were originally </w:t>
            </w:r>
            <w:r w:rsidR="0035086D" w:rsidRPr="004569FC">
              <w:rPr>
                <w:color w:val="FF0000"/>
              </w:rPr>
              <w:t xml:space="preserve">going to include a </w:t>
            </w:r>
            <w:r w:rsidR="0035086D" w:rsidRPr="004569FC">
              <w:rPr>
                <w:color w:val="FF0000"/>
              </w:rPr>
              <w:lastRenderedPageBreak/>
              <w:t>higher level of organics in the filter media and as concession</w:t>
            </w:r>
            <w:r w:rsidR="00AA3BF7" w:rsidRPr="004569FC">
              <w:rPr>
                <w:color w:val="FF0000"/>
              </w:rPr>
              <w:t>,</w:t>
            </w:r>
            <w:r w:rsidR="0035086D" w:rsidRPr="004569FC">
              <w:rPr>
                <w:color w:val="FF0000"/>
              </w:rPr>
              <w:t xml:space="preserve"> it was decided</w:t>
            </w:r>
            <w:r w:rsidR="00A925C3">
              <w:rPr>
                <w:color w:val="FF0000"/>
              </w:rPr>
              <w:t xml:space="preserve"> to</w:t>
            </w:r>
            <w:r w:rsidR="0035086D" w:rsidRPr="004569FC">
              <w:rPr>
                <w:color w:val="FF0000"/>
              </w:rPr>
              <w:t xml:space="preserve"> </w:t>
            </w:r>
            <w:r w:rsidR="00AA3BF7" w:rsidRPr="004569FC">
              <w:rPr>
                <w:color w:val="FF0000"/>
              </w:rPr>
              <w:t>leave those organics out</w:t>
            </w:r>
            <w:r w:rsidR="00A925C3">
              <w:rPr>
                <w:color w:val="FF0000"/>
              </w:rPr>
              <w:t xml:space="preserve"> of the media and retain them in a separate </w:t>
            </w:r>
            <w:r w:rsidR="001424BE" w:rsidRPr="004569FC">
              <w:rPr>
                <w:color w:val="FF0000"/>
              </w:rPr>
              <w:t>compost layer.</w:t>
            </w:r>
            <w:r w:rsidR="008D1E50" w:rsidRPr="004569FC">
              <w:rPr>
                <w:color w:val="FF0000"/>
              </w:rPr>
              <w:t xml:space="preserve"> </w:t>
            </w:r>
          </w:p>
          <w:p w14:paraId="35D22582" w14:textId="34A31A2F" w:rsidR="00D75037" w:rsidRDefault="008D1E50" w:rsidP="004569FC">
            <w:pPr>
              <w:pStyle w:val="Normaltable"/>
              <w:numPr>
                <w:ilvl w:val="0"/>
                <w:numId w:val="15"/>
              </w:numPr>
              <w:rPr>
                <w:color w:val="FF0000"/>
              </w:rPr>
            </w:pPr>
            <w:r w:rsidRPr="004569FC">
              <w:rPr>
                <w:color w:val="FF0000"/>
              </w:rPr>
              <w:t xml:space="preserve">If a further concession was warranted </w:t>
            </w:r>
            <w:r w:rsidR="00394AB5">
              <w:rPr>
                <w:color w:val="FF0000"/>
              </w:rPr>
              <w:t xml:space="preserve">and justified </w:t>
            </w:r>
            <w:r w:rsidRPr="004569FC">
              <w:rPr>
                <w:color w:val="FF0000"/>
              </w:rPr>
              <w:t xml:space="preserve">(we do not believe it is), </w:t>
            </w:r>
            <w:r w:rsidR="006C2F69" w:rsidRPr="004569FC">
              <w:rPr>
                <w:color w:val="FF0000"/>
              </w:rPr>
              <w:t>the bioretention TDG could simply make this compost layer optional.</w:t>
            </w:r>
          </w:p>
          <w:p w14:paraId="401DB213" w14:textId="77777777" w:rsidR="008F73DB" w:rsidRDefault="008F73DB" w:rsidP="004569FC">
            <w:pPr>
              <w:pStyle w:val="Normaltable"/>
              <w:numPr>
                <w:ilvl w:val="0"/>
                <w:numId w:val="15"/>
              </w:numPr>
              <w:rPr>
                <w:color w:val="FF0000"/>
              </w:rPr>
            </w:pPr>
            <w:r>
              <w:rPr>
                <w:color w:val="FF0000"/>
              </w:rPr>
              <w:t xml:space="preserve">To publish a specification and not recommend </w:t>
            </w:r>
            <w:r w:rsidR="00C24F0D">
              <w:rPr>
                <w:color w:val="FF0000"/>
              </w:rPr>
              <w:t xml:space="preserve">it </w:t>
            </w:r>
            <w:r>
              <w:rPr>
                <w:color w:val="FF0000"/>
              </w:rPr>
              <w:t>is very confusing to the industry. One step forward, two steps back in terms of progression of best practice</w:t>
            </w:r>
            <w:r w:rsidR="00C24F0D">
              <w:rPr>
                <w:color w:val="FF0000"/>
              </w:rPr>
              <w:t>.</w:t>
            </w:r>
            <w:r w:rsidR="0018499D">
              <w:rPr>
                <w:color w:val="FF0000"/>
              </w:rPr>
              <w:t xml:space="preserve"> It effectively sterilises the document and ensures that no</w:t>
            </w:r>
            <w:r w:rsidR="004C6853">
              <w:rPr>
                <w:color w:val="FF0000"/>
              </w:rPr>
              <w:t xml:space="preserve"> systems will be constructed using this specification only enforcing the logic for </w:t>
            </w:r>
            <w:r w:rsidR="004E35CF">
              <w:rPr>
                <w:color w:val="FF0000"/>
              </w:rPr>
              <w:t xml:space="preserve">not </w:t>
            </w:r>
            <w:r w:rsidR="004C6853">
              <w:rPr>
                <w:color w:val="FF0000"/>
              </w:rPr>
              <w:t xml:space="preserve">adopting it </w:t>
            </w:r>
            <w:r w:rsidR="00F619A6">
              <w:rPr>
                <w:color w:val="FF0000"/>
              </w:rPr>
              <w:t>i.e. that it has not been widely implemented.</w:t>
            </w:r>
          </w:p>
          <w:p w14:paraId="4E7E2A87" w14:textId="65824E39" w:rsidR="004E35CF" w:rsidRPr="004569FC" w:rsidRDefault="00B26D16" w:rsidP="004569FC">
            <w:pPr>
              <w:pStyle w:val="Normaltable"/>
              <w:numPr>
                <w:ilvl w:val="0"/>
                <w:numId w:val="15"/>
              </w:numPr>
              <w:rPr>
                <w:color w:val="FF0000"/>
              </w:rPr>
            </w:pPr>
            <w:r>
              <w:rPr>
                <w:color w:val="FF0000"/>
              </w:rPr>
              <w:t xml:space="preserve">Given the strong scientific justification behind </w:t>
            </w:r>
            <w:r w:rsidR="00A5107E" w:rsidRPr="003455CD">
              <w:rPr>
                <w:i/>
                <w:iCs/>
                <w:color w:val="FF0000"/>
              </w:rPr>
              <w:t xml:space="preserve">Specifications for Bioretention Filter Media </w:t>
            </w:r>
            <w:r w:rsidR="00A5107E" w:rsidRPr="003455CD">
              <w:rPr>
                <w:color w:val="FF0000"/>
              </w:rPr>
              <w:t>(Water by Design)</w:t>
            </w:r>
            <w:r w:rsidR="00A5107E">
              <w:rPr>
                <w:color w:val="FF0000"/>
              </w:rPr>
              <w:t xml:space="preserve">, the logic that it is ‘jumping the gun’ does not stand up to scrutiny. </w:t>
            </w:r>
            <w:r w:rsidR="009962C2">
              <w:rPr>
                <w:color w:val="FF0000"/>
              </w:rPr>
              <w:t xml:space="preserve">The same scientific rigour does not exist for </w:t>
            </w:r>
            <w:r w:rsidR="00467F91">
              <w:rPr>
                <w:color w:val="FF0000"/>
              </w:rPr>
              <w:t>e</w:t>
            </w:r>
            <w:r w:rsidR="009962C2">
              <w:rPr>
                <w:color w:val="FF0000"/>
              </w:rPr>
              <w:t>ither the FAWB or CRC specs.</w:t>
            </w:r>
          </w:p>
        </w:tc>
        <w:tc>
          <w:tcPr>
            <w:tcW w:w="6913" w:type="dxa"/>
          </w:tcPr>
          <w:p w14:paraId="5932548F" w14:textId="2BCB4100" w:rsidR="001F5E65" w:rsidRPr="004569FC" w:rsidRDefault="004569FC" w:rsidP="001F5E65">
            <w:pPr>
              <w:pStyle w:val="Normaltable"/>
              <w:rPr>
                <w:color w:val="FF0000"/>
              </w:rPr>
            </w:pPr>
            <w:r w:rsidRPr="004569FC">
              <w:rPr>
                <w:color w:val="FF0000"/>
              </w:rPr>
              <w:lastRenderedPageBreak/>
              <w:t xml:space="preserve">It is recommended that the guidelines refer to the </w:t>
            </w:r>
            <w:r w:rsidRPr="00A925C3">
              <w:rPr>
                <w:i/>
                <w:iCs/>
                <w:color w:val="FF0000"/>
              </w:rPr>
              <w:t>Specifications for Bioretention Filter Media</w:t>
            </w:r>
            <w:r w:rsidRPr="004569FC">
              <w:rPr>
                <w:color w:val="FF0000"/>
              </w:rPr>
              <w:t xml:space="preserve"> (Water by Design)</w:t>
            </w:r>
            <w:r w:rsidRPr="004569FC">
              <w:rPr>
                <w:color w:val="FF0000"/>
              </w:rPr>
              <w:t xml:space="preserve"> as the default filter media specification.</w:t>
            </w:r>
          </w:p>
        </w:tc>
      </w:tr>
      <w:tr w:rsidR="00EF7EBF" w:rsidRPr="00D84FB9" w14:paraId="3020CAA3" w14:textId="77777777" w:rsidTr="001D3BDA">
        <w:tc>
          <w:tcPr>
            <w:tcW w:w="1696" w:type="dxa"/>
          </w:tcPr>
          <w:p w14:paraId="708B15E9" w14:textId="00DD70A1" w:rsidR="001F5E65" w:rsidRPr="00573DEE" w:rsidRDefault="001F5E65" w:rsidP="001F5E65">
            <w:pPr>
              <w:pStyle w:val="Normaltable"/>
            </w:pPr>
            <w:r w:rsidRPr="00643A4B">
              <w:lastRenderedPageBreak/>
              <w:t>Section 3.3.3.4</w:t>
            </w:r>
          </w:p>
        </w:tc>
        <w:tc>
          <w:tcPr>
            <w:tcW w:w="6237" w:type="dxa"/>
          </w:tcPr>
          <w:p w14:paraId="6EC3713C" w14:textId="77777777" w:rsidR="001F5E65" w:rsidRDefault="001F5E65" w:rsidP="001F5E65">
            <w:pPr>
              <w:pStyle w:val="Normaltable"/>
            </w:pPr>
            <w:r w:rsidRPr="00643A4B">
              <w:t>Rewording to clarify the section relating to setting the maximum water level</w:t>
            </w:r>
          </w:p>
          <w:p w14:paraId="22D47FEF" w14:textId="01E79094" w:rsidR="00E81B1F" w:rsidRPr="00A05DFC" w:rsidRDefault="00E81B1F" w:rsidP="001F5E65">
            <w:pPr>
              <w:pStyle w:val="Normaltable"/>
            </w:pPr>
            <w:r w:rsidRPr="00845430">
              <w:rPr>
                <w:color w:val="00B050"/>
              </w:rPr>
              <w:lastRenderedPageBreak/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4D3CCA11" w14:textId="3D0967D9" w:rsidR="001F5E65" w:rsidRPr="00D84FB9" w:rsidRDefault="00E81B1F" w:rsidP="001F5E65">
            <w:pPr>
              <w:pStyle w:val="Normaltable"/>
            </w:pPr>
            <w:r w:rsidRPr="00E81B1F">
              <w:rPr>
                <w:color w:val="00B050"/>
              </w:rPr>
              <w:lastRenderedPageBreak/>
              <w:t>N/A</w:t>
            </w:r>
          </w:p>
        </w:tc>
      </w:tr>
      <w:tr w:rsidR="00EF7EBF" w:rsidRPr="00D84FB9" w14:paraId="537E760B" w14:textId="77777777" w:rsidTr="001D3BDA">
        <w:tc>
          <w:tcPr>
            <w:tcW w:w="1696" w:type="dxa"/>
          </w:tcPr>
          <w:p w14:paraId="660EA7E0" w14:textId="77A0CCA5" w:rsidR="001F5E65" w:rsidRPr="00573DEE" w:rsidRDefault="001F5E65" w:rsidP="001F5E65">
            <w:pPr>
              <w:pStyle w:val="Normaltable"/>
            </w:pPr>
            <w:r w:rsidRPr="00521E09">
              <w:t>Section 3.3.4</w:t>
            </w:r>
          </w:p>
        </w:tc>
        <w:tc>
          <w:tcPr>
            <w:tcW w:w="6237" w:type="dxa"/>
          </w:tcPr>
          <w:p w14:paraId="671871A3" w14:textId="77777777" w:rsidR="001F5E65" w:rsidRDefault="001F5E65" w:rsidP="001F5E65">
            <w:pPr>
              <w:pStyle w:val="Normaltable"/>
            </w:pPr>
            <w:r w:rsidRPr="00521E09">
              <w:t>New guidance on how to prepare the base of bioretention systems where infiltration is a key goal</w:t>
            </w:r>
          </w:p>
          <w:p w14:paraId="5B4B366F" w14:textId="2BA2300B" w:rsidR="00E81B1F" w:rsidRPr="00A05DFC" w:rsidRDefault="00BA01BD" w:rsidP="001F5E65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6F74160A" w14:textId="37A0E5CB" w:rsidR="001F5E65" w:rsidRPr="00D84FB9" w:rsidRDefault="00BA01BD" w:rsidP="001F5E65">
            <w:pPr>
              <w:pStyle w:val="Normaltable"/>
            </w:pPr>
            <w:r w:rsidRPr="00E81B1F">
              <w:rPr>
                <w:color w:val="00B050"/>
              </w:rPr>
              <w:t>N/A</w:t>
            </w:r>
          </w:p>
        </w:tc>
      </w:tr>
      <w:tr w:rsidR="00EF7EBF" w:rsidRPr="00D84FB9" w14:paraId="69DC0A1C" w14:textId="77777777" w:rsidTr="001D3BDA">
        <w:tc>
          <w:tcPr>
            <w:tcW w:w="1696" w:type="dxa"/>
          </w:tcPr>
          <w:p w14:paraId="36EEF63D" w14:textId="15B07395" w:rsidR="001F5E65" w:rsidRPr="00573DEE" w:rsidRDefault="001F5E65" w:rsidP="001F5E65">
            <w:pPr>
              <w:pStyle w:val="Normaltable"/>
              <w:jc w:val="center"/>
            </w:pPr>
            <w:r w:rsidRPr="0065199F">
              <w:t>Section 3.3.5</w:t>
            </w:r>
          </w:p>
        </w:tc>
        <w:tc>
          <w:tcPr>
            <w:tcW w:w="6237" w:type="dxa"/>
          </w:tcPr>
          <w:p w14:paraId="06E1FC6B" w14:textId="77777777" w:rsidR="001F5E65" w:rsidRDefault="001F5E65" w:rsidP="001F5E65">
            <w:pPr>
              <w:pStyle w:val="Normaltable"/>
            </w:pPr>
            <w:r w:rsidRPr="00521E09">
              <w:t>Refinement of guidance on acceptable and unacceptable liner types</w:t>
            </w:r>
          </w:p>
          <w:p w14:paraId="0869453A" w14:textId="0819EB45" w:rsidR="009A140A" w:rsidRPr="00A05DFC" w:rsidRDefault="009A140A" w:rsidP="001F5E65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499164FD" w14:textId="3E5C5458" w:rsidR="001F5E65" w:rsidRPr="00D84FB9" w:rsidRDefault="009A140A" w:rsidP="001F5E65">
            <w:pPr>
              <w:pStyle w:val="Normaltable"/>
            </w:pPr>
            <w:r w:rsidRPr="00E81B1F">
              <w:rPr>
                <w:color w:val="00B050"/>
              </w:rPr>
              <w:t>N/A</w:t>
            </w:r>
          </w:p>
        </w:tc>
      </w:tr>
      <w:tr w:rsidR="00EF7EBF" w:rsidRPr="00D84FB9" w14:paraId="372D703A" w14:textId="77777777" w:rsidTr="001D3BDA">
        <w:tc>
          <w:tcPr>
            <w:tcW w:w="1696" w:type="dxa"/>
          </w:tcPr>
          <w:p w14:paraId="3C38D54B" w14:textId="5405EF7D" w:rsidR="001F5E65" w:rsidRPr="00573DEE" w:rsidRDefault="001F5E65" w:rsidP="001F5E65">
            <w:pPr>
              <w:pStyle w:val="Normaltable"/>
            </w:pPr>
            <w:r w:rsidRPr="0065199F">
              <w:t>Section 3.4.3.1</w:t>
            </w:r>
          </w:p>
        </w:tc>
        <w:tc>
          <w:tcPr>
            <w:tcW w:w="6237" w:type="dxa"/>
          </w:tcPr>
          <w:p w14:paraId="1E8FE354" w14:textId="77777777" w:rsidR="001F5E65" w:rsidRDefault="001F5E65" w:rsidP="001F5E65">
            <w:pPr>
              <w:pStyle w:val="Normaltable"/>
            </w:pPr>
            <w:r w:rsidRPr="0065199F">
              <w:t>Enhanced guidance on how to configure large bioretention systems</w:t>
            </w:r>
          </w:p>
          <w:p w14:paraId="6B5B60C8" w14:textId="339816DD" w:rsidR="009A140A" w:rsidRPr="00A05DFC" w:rsidRDefault="005D1773" w:rsidP="001F5E65">
            <w:pPr>
              <w:pStyle w:val="Normaltable"/>
            </w:pPr>
            <w:r w:rsidRPr="00845430">
              <w:rPr>
                <w:color w:val="00B050"/>
              </w:rPr>
              <w:t>Comment: Changes</w:t>
            </w:r>
            <w:r w:rsidR="00630A93">
              <w:rPr>
                <w:color w:val="00B050"/>
              </w:rPr>
              <w:t xml:space="preserve"> </w:t>
            </w:r>
            <w:r w:rsidR="00630A93">
              <w:rPr>
                <w:color w:val="00B050"/>
              </w:rPr>
              <w:t>generally</w:t>
            </w:r>
            <w:r w:rsidRPr="00845430">
              <w:rPr>
                <w:color w:val="00B050"/>
              </w:rPr>
              <w:t xml:space="preserve"> supported, no further comment.</w:t>
            </w:r>
          </w:p>
        </w:tc>
        <w:tc>
          <w:tcPr>
            <w:tcW w:w="6913" w:type="dxa"/>
          </w:tcPr>
          <w:p w14:paraId="2B9CBDE3" w14:textId="336FA231" w:rsidR="001F5E65" w:rsidRPr="00D84FB9" w:rsidRDefault="005D1773" w:rsidP="001F5E65">
            <w:pPr>
              <w:pStyle w:val="Normaltable"/>
            </w:pPr>
            <w:r w:rsidRPr="00E81B1F">
              <w:rPr>
                <w:color w:val="00B050"/>
              </w:rPr>
              <w:t>N/A</w:t>
            </w:r>
          </w:p>
        </w:tc>
      </w:tr>
      <w:tr w:rsidR="00EF7EBF" w:rsidRPr="00D84FB9" w14:paraId="43914C7D" w14:textId="77777777" w:rsidTr="001D3BDA">
        <w:tc>
          <w:tcPr>
            <w:tcW w:w="1696" w:type="dxa"/>
          </w:tcPr>
          <w:p w14:paraId="652D09BA" w14:textId="761429F8" w:rsidR="001F5E65" w:rsidRPr="00573DEE" w:rsidRDefault="001F5E65" w:rsidP="001F5E65">
            <w:pPr>
              <w:pStyle w:val="Normaltable"/>
              <w:jc w:val="center"/>
            </w:pPr>
            <w:r w:rsidRPr="0065199F">
              <w:t>Section 3.4.5.3</w:t>
            </w:r>
          </w:p>
        </w:tc>
        <w:tc>
          <w:tcPr>
            <w:tcW w:w="6237" w:type="dxa"/>
          </w:tcPr>
          <w:p w14:paraId="75A619B9" w14:textId="77777777" w:rsidR="001F5E65" w:rsidRDefault="001F5E65" w:rsidP="001F5E65">
            <w:pPr>
              <w:pStyle w:val="Normaltable"/>
            </w:pPr>
            <w:r w:rsidRPr="0065199F">
              <w:t>Clarified that finished surface levels for batters/embankments must allow for topsoil</w:t>
            </w:r>
          </w:p>
          <w:p w14:paraId="0BDB0109" w14:textId="6CB1FAD8" w:rsidR="007314A1" w:rsidRPr="00A05DFC" w:rsidRDefault="007314A1" w:rsidP="001F5E65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6BC36F4A" w14:textId="09A55F6F" w:rsidR="001F5E65" w:rsidRPr="00D84FB9" w:rsidRDefault="007314A1" w:rsidP="001F5E65">
            <w:pPr>
              <w:pStyle w:val="Normaltable"/>
            </w:pPr>
            <w:r w:rsidRPr="00E81B1F">
              <w:rPr>
                <w:color w:val="00B050"/>
              </w:rPr>
              <w:t>N/A</w:t>
            </w:r>
          </w:p>
        </w:tc>
      </w:tr>
      <w:tr w:rsidR="00EF7EBF" w:rsidRPr="00D84FB9" w14:paraId="046DBA76" w14:textId="77777777" w:rsidTr="001D3BDA">
        <w:tc>
          <w:tcPr>
            <w:tcW w:w="1696" w:type="dxa"/>
          </w:tcPr>
          <w:p w14:paraId="6F4E75E7" w14:textId="13090064" w:rsidR="001F5E65" w:rsidRPr="00573DEE" w:rsidRDefault="001F5E65" w:rsidP="001F5E65">
            <w:pPr>
              <w:pStyle w:val="Normaltable"/>
            </w:pPr>
            <w:r w:rsidRPr="00D73A90">
              <w:t xml:space="preserve">Section 3.4.5.5 and </w:t>
            </w:r>
            <w:r w:rsidRPr="00D73A90">
              <w:lastRenderedPageBreak/>
              <w:t>Section 3.4.5.6</w:t>
            </w:r>
          </w:p>
        </w:tc>
        <w:tc>
          <w:tcPr>
            <w:tcW w:w="6237" w:type="dxa"/>
          </w:tcPr>
          <w:p w14:paraId="5AA85F6D" w14:textId="77777777" w:rsidR="001F5E65" w:rsidRDefault="001F5E65" w:rsidP="001F5E65">
            <w:pPr>
              <w:pStyle w:val="Normaltable"/>
            </w:pPr>
            <w:r w:rsidRPr="00D73A90">
              <w:lastRenderedPageBreak/>
              <w:t>Clarification of guidance regarding walls (above ground) and the interface with in-situ soils</w:t>
            </w:r>
          </w:p>
          <w:p w14:paraId="26947FB9" w14:textId="77777777" w:rsidR="0016322B" w:rsidRDefault="00E96A84" w:rsidP="001F5E65">
            <w:pPr>
              <w:pStyle w:val="Normaltable"/>
              <w:rPr>
                <w:color w:val="FFC000"/>
              </w:rPr>
            </w:pPr>
            <w:r w:rsidRPr="00CB47A1">
              <w:rPr>
                <w:color w:val="FFC000"/>
              </w:rPr>
              <w:t xml:space="preserve">Comments: Changes </w:t>
            </w:r>
            <w:r w:rsidR="0016322B">
              <w:rPr>
                <w:color w:val="FFC000"/>
              </w:rPr>
              <w:t xml:space="preserve">are </w:t>
            </w:r>
            <w:r w:rsidRPr="00CB47A1">
              <w:rPr>
                <w:color w:val="FFC000"/>
              </w:rPr>
              <w:t>generally supported</w:t>
            </w:r>
            <w:r w:rsidR="00185FBF" w:rsidRPr="00CB47A1">
              <w:rPr>
                <w:color w:val="FFC000"/>
              </w:rPr>
              <w:t xml:space="preserve">. </w:t>
            </w:r>
          </w:p>
          <w:p w14:paraId="221770BB" w14:textId="0363CBF7" w:rsidR="007314A1" w:rsidRDefault="00185FBF" w:rsidP="001F5E65">
            <w:pPr>
              <w:pStyle w:val="Normaltable"/>
              <w:rPr>
                <w:color w:val="FFC000"/>
              </w:rPr>
            </w:pPr>
            <w:r w:rsidRPr="00CB47A1">
              <w:rPr>
                <w:color w:val="FFC000"/>
              </w:rPr>
              <w:lastRenderedPageBreak/>
              <w:t xml:space="preserve">The recommendation to plant the </w:t>
            </w:r>
            <w:r w:rsidR="004B2B80" w:rsidRPr="00CB47A1">
              <w:rPr>
                <w:color w:val="FFC000"/>
              </w:rPr>
              <w:t>vegetated</w:t>
            </w:r>
            <w:r w:rsidRPr="00CB47A1">
              <w:rPr>
                <w:color w:val="FFC000"/>
              </w:rPr>
              <w:t xml:space="preserve"> strip between walls with trees may not achieve the desired outcome of screening the low walls. A combination of </w:t>
            </w:r>
            <w:r w:rsidR="004B2B80" w:rsidRPr="00CB47A1">
              <w:rPr>
                <w:color w:val="FFC000"/>
              </w:rPr>
              <w:t>high groundcovers and shrubs may be a more responsive design solution.</w:t>
            </w:r>
          </w:p>
          <w:p w14:paraId="40849420" w14:textId="51E8DAF8" w:rsidR="00376CDE" w:rsidRDefault="000726F6" w:rsidP="001F5E65">
            <w:pPr>
              <w:pStyle w:val="Normaltable"/>
              <w:rPr>
                <w:color w:val="FFC000"/>
              </w:rPr>
            </w:pPr>
            <w:r>
              <w:rPr>
                <w:color w:val="FFC000"/>
              </w:rPr>
              <w:t xml:space="preserve">The recommendation for the vegetated strip to be 3m wide is </w:t>
            </w:r>
            <w:r w:rsidR="00370E39">
              <w:rPr>
                <w:color w:val="FFC000"/>
              </w:rPr>
              <w:t xml:space="preserve">supported for larger basins but for smaller basins </w:t>
            </w:r>
            <w:r w:rsidR="00661A62">
              <w:rPr>
                <w:color w:val="FFC000"/>
              </w:rPr>
              <w:t xml:space="preserve">like </w:t>
            </w:r>
            <w:r w:rsidR="00511E44">
              <w:rPr>
                <w:color w:val="FFC000"/>
              </w:rPr>
              <w:t>t</w:t>
            </w:r>
            <w:r w:rsidR="00661A62">
              <w:rPr>
                <w:color w:val="FFC000"/>
              </w:rPr>
              <w:t xml:space="preserve">he one shown in Figure 25, where the overall </w:t>
            </w:r>
            <w:r w:rsidR="00783AB0">
              <w:rPr>
                <w:color w:val="FFC000"/>
              </w:rPr>
              <w:t xml:space="preserve">available </w:t>
            </w:r>
            <w:r w:rsidR="00661A62">
              <w:rPr>
                <w:color w:val="FFC000"/>
              </w:rPr>
              <w:t xml:space="preserve">width is </w:t>
            </w:r>
            <w:r w:rsidR="00783AB0">
              <w:rPr>
                <w:color w:val="FFC000"/>
              </w:rPr>
              <w:t xml:space="preserve">already </w:t>
            </w:r>
            <w:r w:rsidR="008216BF">
              <w:rPr>
                <w:color w:val="FFC000"/>
              </w:rPr>
              <w:t xml:space="preserve">around </w:t>
            </w:r>
            <w:r w:rsidR="00B77C72">
              <w:rPr>
                <w:color w:val="FFC000"/>
              </w:rPr>
              <w:t>~</w:t>
            </w:r>
            <w:r w:rsidR="00661A62">
              <w:rPr>
                <w:color w:val="FFC000"/>
              </w:rPr>
              <w:t>6m and the site is space constrained, this may be impractical</w:t>
            </w:r>
            <w:r w:rsidR="00A246D8">
              <w:rPr>
                <w:color w:val="FFC000"/>
              </w:rPr>
              <w:t xml:space="preserve">. An </w:t>
            </w:r>
            <w:r w:rsidR="0091072C">
              <w:rPr>
                <w:color w:val="FFC000"/>
              </w:rPr>
              <w:t>alternative</w:t>
            </w:r>
            <w:r w:rsidR="00A246D8">
              <w:rPr>
                <w:color w:val="FFC000"/>
              </w:rPr>
              <w:t xml:space="preserve"> may be </w:t>
            </w:r>
            <w:r w:rsidR="0091072C">
              <w:rPr>
                <w:color w:val="FFC000"/>
              </w:rPr>
              <w:t>to</w:t>
            </w:r>
            <w:r w:rsidR="00376CDE">
              <w:rPr>
                <w:color w:val="FFC000"/>
              </w:rPr>
              <w:t>:</w:t>
            </w:r>
          </w:p>
          <w:p w14:paraId="6CEF2011" w14:textId="0FABF6A6" w:rsidR="00376CDE" w:rsidRDefault="0091072C" w:rsidP="00DB0BEA">
            <w:pPr>
              <w:pStyle w:val="Normaltable"/>
              <w:numPr>
                <w:ilvl w:val="0"/>
                <w:numId w:val="16"/>
              </w:numPr>
              <w:rPr>
                <w:color w:val="FFC000"/>
              </w:rPr>
            </w:pPr>
            <w:r>
              <w:rPr>
                <w:color w:val="FFC000"/>
              </w:rPr>
              <w:t xml:space="preserve">reduce the width </w:t>
            </w:r>
            <w:r w:rsidR="00783AB0">
              <w:rPr>
                <w:color w:val="FFC000"/>
              </w:rPr>
              <w:t xml:space="preserve">of the planting strip </w:t>
            </w:r>
            <w:r w:rsidR="008216BF">
              <w:rPr>
                <w:color w:val="FFC000"/>
              </w:rPr>
              <w:t xml:space="preserve">as little as possible but even potentially down to </w:t>
            </w:r>
            <w:r>
              <w:rPr>
                <w:color w:val="FFC000"/>
              </w:rPr>
              <w:t>1m</w:t>
            </w:r>
          </w:p>
          <w:p w14:paraId="0F0843EC" w14:textId="2D5F0410" w:rsidR="000726F6" w:rsidRDefault="0091072C" w:rsidP="00DB0BEA">
            <w:pPr>
              <w:pStyle w:val="Normaltable"/>
              <w:numPr>
                <w:ilvl w:val="0"/>
                <w:numId w:val="16"/>
              </w:numPr>
              <w:rPr>
                <w:color w:val="FFC000"/>
              </w:rPr>
            </w:pPr>
            <w:r>
              <w:rPr>
                <w:color w:val="FFC000"/>
              </w:rPr>
              <w:t>plant with groundcover</w:t>
            </w:r>
            <w:r w:rsidR="00376CDE">
              <w:rPr>
                <w:color w:val="FFC000"/>
              </w:rPr>
              <w:t>s</w:t>
            </w:r>
            <w:r>
              <w:rPr>
                <w:color w:val="FFC000"/>
              </w:rPr>
              <w:t xml:space="preserve"> and </w:t>
            </w:r>
            <w:r w:rsidR="00376CDE">
              <w:rPr>
                <w:color w:val="FFC000"/>
              </w:rPr>
              <w:t xml:space="preserve">small </w:t>
            </w:r>
            <w:r>
              <w:rPr>
                <w:color w:val="FFC000"/>
              </w:rPr>
              <w:t>sh</w:t>
            </w:r>
            <w:r w:rsidR="00376CDE">
              <w:rPr>
                <w:color w:val="FFC000"/>
              </w:rPr>
              <w:t xml:space="preserve">rubs which will cover the walls at mature height and survive in the narrower </w:t>
            </w:r>
            <w:r w:rsidR="00684617">
              <w:rPr>
                <w:color w:val="FFC000"/>
              </w:rPr>
              <w:t>strip of soil</w:t>
            </w:r>
          </w:p>
          <w:p w14:paraId="74D15CC0" w14:textId="1C0D2010" w:rsidR="00684617" w:rsidRDefault="00DB0BEA" w:rsidP="00DB0BEA">
            <w:pPr>
              <w:pStyle w:val="Normaltable"/>
              <w:numPr>
                <w:ilvl w:val="0"/>
                <w:numId w:val="16"/>
              </w:numPr>
              <w:rPr>
                <w:color w:val="FFC000"/>
              </w:rPr>
            </w:pPr>
            <w:r>
              <w:rPr>
                <w:color w:val="FFC000"/>
              </w:rPr>
              <w:t xml:space="preserve">use of </w:t>
            </w:r>
            <w:r w:rsidR="00D7113A" w:rsidRPr="00D7113A">
              <w:rPr>
                <w:color w:val="FFC000"/>
              </w:rPr>
              <w:t>structural soil vault system</w:t>
            </w:r>
            <w:r>
              <w:rPr>
                <w:color w:val="FFC000"/>
              </w:rPr>
              <w:t>s</w:t>
            </w:r>
            <w:r w:rsidR="00D7113A">
              <w:rPr>
                <w:color w:val="FFC000"/>
              </w:rPr>
              <w:t>,</w:t>
            </w:r>
            <w:r w:rsidR="00D7113A" w:rsidRPr="00D7113A">
              <w:rPr>
                <w:color w:val="FFC000"/>
              </w:rPr>
              <w:t> otherwise known as soil cells</w:t>
            </w:r>
            <w:r w:rsidR="00D7113A">
              <w:rPr>
                <w:color w:val="FFC000"/>
              </w:rPr>
              <w:t xml:space="preserve">, </w:t>
            </w:r>
            <w:r w:rsidR="007A5AFF">
              <w:rPr>
                <w:color w:val="FFC000"/>
              </w:rPr>
              <w:t xml:space="preserve">in the planting strip </w:t>
            </w:r>
            <w:r w:rsidR="00D7113A">
              <w:rPr>
                <w:color w:val="FFC000"/>
              </w:rPr>
              <w:t>to support plant growth and improve plant growth</w:t>
            </w:r>
            <w:r>
              <w:rPr>
                <w:color w:val="FFC000"/>
              </w:rPr>
              <w:t>/longevity.</w:t>
            </w:r>
            <w:r w:rsidR="005A5CF3">
              <w:rPr>
                <w:color w:val="FFC000"/>
              </w:rPr>
              <w:t xml:space="preserve"> </w:t>
            </w:r>
          </w:p>
          <w:p w14:paraId="300E1754" w14:textId="20BECFC4" w:rsidR="008C7045" w:rsidRPr="00A05DFC" w:rsidRDefault="00DF2483" w:rsidP="001F5E65">
            <w:pPr>
              <w:pStyle w:val="Normaltable"/>
            </w:pPr>
            <w:r>
              <w:rPr>
                <w:color w:val="FFC000"/>
              </w:rPr>
              <w:t xml:space="preserve">While the </w:t>
            </w:r>
            <w:r w:rsidR="008C7045" w:rsidRPr="008C7045">
              <w:rPr>
                <w:color w:val="FFC000"/>
              </w:rPr>
              <w:t xml:space="preserve">advice about splitting walls with a vegetated strip is strongly </w:t>
            </w:r>
            <w:r>
              <w:rPr>
                <w:color w:val="FFC000"/>
              </w:rPr>
              <w:t xml:space="preserve">supported it </w:t>
            </w:r>
            <w:r w:rsidR="008C7045" w:rsidRPr="008C7045">
              <w:rPr>
                <w:color w:val="FFC000"/>
              </w:rPr>
              <w:t xml:space="preserve">would </w:t>
            </w:r>
            <w:r w:rsidR="00F948C3">
              <w:rPr>
                <w:color w:val="FFC000"/>
              </w:rPr>
              <w:t xml:space="preserve">still greatly </w:t>
            </w:r>
            <w:r w:rsidR="008C7045" w:rsidRPr="008C7045">
              <w:rPr>
                <w:color w:val="FFC000"/>
              </w:rPr>
              <w:t>benefit from a diagram.</w:t>
            </w:r>
          </w:p>
        </w:tc>
        <w:tc>
          <w:tcPr>
            <w:tcW w:w="6913" w:type="dxa"/>
          </w:tcPr>
          <w:p w14:paraId="5E3D7199" w14:textId="1E0D3AF3" w:rsidR="001F5E65" w:rsidRDefault="008C7045" w:rsidP="001F5E65">
            <w:pPr>
              <w:pStyle w:val="Normaltable"/>
              <w:rPr>
                <w:color w:val="FFC000"/>
              </w:rPr>
            </w:pPr>
            <w:r>
              <w:rPr>
                <w:color w:val="FFC000"/>
              </w:rPr>
              <w:lastRenderedPageBreak/>
              <w:t xml:space="preserve">1. </w:t>
            </w:r>
            <w:r w:rsidR="00CB47A1" w:rsidRPr="00CB47A1">
              <w:rPr>
                <w:color w:val="FFC000"/>
              </w:rPr>
              <w:t>Reconsider the planting advice and amend as appropriate.</w:t>
            </w:r>
          </w:p>
          <w:p w14:paraId="4414C9E4" w14:textId="07F85FCA" w:rsidR="00DB0BEA" w:rsidRDefault="00DB0BEA" w:rsidP="001F5E65">
            <w:pPr>
              <w:pStyle w:val="Normaltable"/>
              <w:rPr>
                <w:color w:val="FFC000"/>
              </w:rPr>
            </w:pPr>
            <w:r>
              <w:rPr>
                <w:color w:val="FFC000"/>
              </w:rPr>
              <w:lastRenderedPageBreak/>
              <w:t xml:space="preserve">2. Provide a separate approach for splitting walls in large and small basins including advice about to improve </w:t>
            </w:r>
            <w:r w:rsidR="00783AB0">
              <w:rPr>
                <w:color w:val="FFC000"/>
              </w:rPr>
              <w:t>outcomes in narrow planting strips between retaining walls.</w:t>
            </w:r>
          </w:p>
          <w:p w14:paraId="27A1C776" w14:textId="45295828" w:rsidR="008C7045" w:rsidRPr="00CB47A1" w:rsidRDefault="00DB0BEA" w:rsidP="001F5E65">
            <w:pPr>
              <w:pStyle w:val="Normaltable"/>
              <w:rPr>
                <w:color w:val="FFC000"/>
              </w:rPr>
            </w:pPr>
            <w:r>
              <w:rPr>
                <w:color w:val="FFC000"/>
              </w:rPr>
              <w:t>3</w:t>
            </w:r>
            <w:r w:rsidR="008C7045">
              <w:rPr>
                <w:color w:val="FFC000"/>
              </w:rPr>
              <w:t xml:space="preserve">. Provide a diagram showing the split wall </w:t>
            </w:r>
            <w:r w:rsidR="00EC1173">
              <w:rPr>
                <w:color w:val="FFC000"/>
              </w:rPr>
              <w:t>design approach.</w:t>
            </w:r>
            <w:r w:rsidR="00DF2483">
              <w:rPr>
                <w:color w:val="FFC000"/>
              </w:rPr>
              <w:t xml:space="preserve"> Sperate diagrams for small and large basins is recommended.</w:t>
            </w:r>
          </w:p>
        </w:tc>
      </w:tr>
      <w:tr w:rsidR="00EF7EBF" w:rsidRPr="00D84FB9" w14:paraId="1BC671EF" w14:textId="77777777" w:rsidTr="001D3BDA">
        <w:tc>
          <w:tcPr>
            <w:tcW w:w="1696" w:type="dxa"/>
          </w:tcPr>
          <w:p w14:paraId="7D908094" w14:textId="1852464C" w:rsidR="001F5E65" w:rsidRPr="00573DEE" w:rsidRDefault="001F5E65" w:rsidP="001F5E65">
            <w:pPr>
              <w:pStyle w:val="Normaltable"/>
            </w:pPr>
            <w:r w:rsidRPr="00D73A90">
              <w:lastRenderedPageBreak/>
              <w:t>Section 3.4.6</w:t>
            </w:r>
          </w:p>
        </w:tc>
        <w:tc>
          <w:tcPr>
            <w:tcW w:w="6237" w:type="dxa"/>
          </w:tcPr>
          <w:p w14:paraId="3B462CB3" w14:textId="77777777" w:rsidR="001F5E65" w:rsidRDefault="001F5E65" w:rsidP="001F5E65">
            <w:pPr>
              <w:pStyle w:val="Normaltable"/>
            </w:pPr>
            <w:r w:rsidRPr="00D73A90">
              <w:t>Enhanced guidance on maintenance access</w:t>
            </w:r>
          </w:p>
          <w:p w14:paraId="0E2D9670" w14:textId="77777777" w:rsidR="00403E23" w:rsidRPr="00DF603C" w:rsidRDefault="00403E23" w:rsidP="00403E23">
            <w:pPr>
              <w:pStyle w:val="Normaltable"/>
              <w:rPr>
                <w:color w:val="FFC000"/>
              </w:rPr>
            </w:pPr>
            <w:r w:rsidRPr="00CB47A1">
              <w:rPr>
                <w:color w:val="FFC000"/>
              </w:rPr>
              <w:t xml:space="preserve">Comments: Changes </w:t>
            </w:r>
            <w:r>
              <w:rPr>
                <w:color w:val="FFC000"/>
              </w:rPr>
              <w:t xml:space="preserve">are </w:t>
            </w:r>
            <w:r w:rsidRPr="00CB47A1">
              <w:rPr>
                <w:color w:val="FFC000"/>
              </w:rPr>
              <w:t>generally supported.</w:t>
            </w:r>
            <w:r w:rsidRPr="00DF603C">
              <w:rPr>
                <w:color w:val="FFC000"/>
              </w:rPr>
              <w:t xml:space="preserve"> </w:t>
            </w:r>
          </w:p>
          <w:p w14:paraId="2BA19851" w14:textId="31904AA4" w:rsidR="00403E23" w:rsidRPr="00A05DFC" w:rsidRDefault="00514ED0" w:rsidP="001F5E65">
            <w:pPr>
              <w:pStyle w:val="Normaltable"/>
            </w:pPr>
            <w:r w:rsidRPr="00DF603C">
              <w:rPr>
                <w:color w:val="FFC000"/>
              </w:rPr>
              <w:t xml:space="preserve">The comments could be enhanced by specifically noting that any retaining walls </w:t>
            </w:r>
            <w:r w:rsidR="00DF603C">
              <w:rPr>
                <w:color w:val="FFC000"/>
              </w:rPr>
              <w:t xml:space="preserve">located </w:t>
            </w:r>
            <w:r w:rsidR="00DF603C" w:rsidRPr="00DF603C">
              <w:rPr>
                <w:color w:val="FFC000"/>
              </w:rPr>
              <w:t xml:space="preserve">adjacent to access paths </w:t>
            </w:r>
            <w:r w:rsidRPr="00DF603C">
              <w:rPr>
                <w:color w:val="FFC000"/>
              </w:rPr>
              <w:t xml:space="preserve">should be designed so as not to inhibit </w:t>
            </w:r>
            <w:r w:rsidR="00DF603C" w:rsidRPr="00DF603C">
              <w:rPr>
                <w:color w:val="FFC000"/>
              </w:rPr>
              <w:t>machinery access (refer to Figure 59</w:t>
            </w:r>
            <w:r w:rsidR="00750E7E">
              <w:rPr>
                <w:color w:val="FFC000"/>
              </w:rPr>
              <w:t xml:space="preserve">), i.e. it would be good to </w:t>
            </w:r>
            <w:r w:rsidR="00787D76">
              <w:rPr>
                <w:color w:val="FFC000"/>
              </w:rPr>
              <w:t>explain</w:t>
            </w:r>
            <w:r w:rsidR="00750E7E">
              <w:rPr>
                <w:color w:val="FFC000"/>
              </w:rPr>
              <w:t xml:space="preserve"> why this </w:t>
            </w:r>
            <w:r w:rsidR="00787D76">
              <w:rPr>
                <w:color w:val="FFC000"/>
              </w:rPr>
              <w:t>figure represents an</w:t>
            </w:r>
            <w:r w:rsidR="00750E7E">
              <w:rPr>
                <w:color w:val="FFC000"/>
              </w:rPr>
              <w:t xml:space="preserve"> </w:t>
            </w:r>
            <w:r w:rsidR="00787D76">
              <w:rPr>
                <w:color w:val="FFC000"/>
              </w:rPr>
              <w:t>example of poor design.</w:t>
            </w:r>
          </w:p>
        </w:tc>
        <w:tc>
          <w:tcPr>
            <w:tcW w:w="6913" w:type="dxa"/>
          </w:tcPr>
          <w:p w14:paraId="715D1A4A" w14:textId="17825E03" w:rsidR="001F5E65" w:rsidRPr="00DF603C" w:rsidRDefault="00DF603C" w:rsidP="001F5E65">
            <w:pPr>
              <w:pStyle w:val="Normaltable"/>
              <w:rPr>
                <w:color w:val="FFC000"/>
              </w:rPr>
            </w:pPr>
            <w:r w:rsidRPr="00DF603C">
              <w:rPr>
                <w:color w:val="FFC000"/>
              </w:rPr>
              <w:t xml:space="preserve">It is recommended that advice be provided </w:t>
            </w:r>
            <w:r w:rsidRPr="00DF603C">
              <w:rPr>
                <w:color w:val="FFC000"/>
              </w:rPr>
              <w:t xml:space="preserve">that any retaining walls </w:t>
            </w:r>
            <w:r>
              <w:rPr>
                <w:color w:val="FFC000"/>
              </w:rPr>
              <w:t xml:space="preserve">located </w:t>
            </w:r>
            <w:r w:rsidRPr="00DF603C">
              <w:rPr>
                <w:color w:val="FFC000"/>
              </w:rPr>
              <w:t xml:space="preserve">adjacent to access paths </w:t>
            </w:r>
            <w:r w:rsidRPr="00DF603C">
              <w:rPr>
                <w:color w:val="FFC000"/>
              </w:rPr>
              <w:t>should be designed so as not to inhibit machinery access (refer to Figure 59).</w:t>
            </w:r>
          </w:p>
        </w:tc>
      </w:tr>
      <w:tr w:rsidR="00EF7EBF" w:rsidRPr="00D84FB9" w14:paraId="52C7DD26" w14:textId="77777777" w:rsidTr="001D3BDA">
        <w:tc>
          <w:tcPr>
            <w:tcW w:w="1696" w:type="dxa"/>
          </w:tcPr>
          <w:p w14:paraId="72C6BF0B" w14:textId="1AC781AE" w:rsidR="001F5E65" w:rsidRPr="00573DEE" w:rsidRDefault="001F5E65" w:rsidP="001F5E65">
            <w:pPr>
              <w:pStyle w:val="Normaltable"/>
            </w:pPr>
            <w:r w:rsidRPr="00557A66">
              <w:t xml:space="preserve">Section 3.1.2 and Section 3.4.8 </w:t>
            </w:r>
          </w:p>
        </w:tc>
        <w:tc>
          <w:tcPr>
            <w:tcW w:w="6237" w:type="dxa"/>
          </w:tcPr>
          <w:p w14:paraId="63D7C330" w14:textId="77777777" w:rsidR="001F5E65" w:rsidRDefault="001F5E65" w:rsidP="001F5E65">
            <w:pPr>
              <w:pStyle w:val="Normaltable"/>
            </w:pPr>
            <w:r w:rsidRPr="00557A66">
              <w:t>Additional guidance on the design of streetscape bioretention systems</w:t>
            </w:r>
          </w:p>
          <w:p w14:paraId="4D9BF305" w14:textId="6257204C" w:rsidR="00F7265F" w:rsidRPr="00A05DFC" w:rsidRDefault="00F7265F" w:rsidP="001F5E65">
            <w:pPr>
              <w:pStyle w:val="Normaltable"/>
            </w:pPr>
            <w:r w:rsidRPr="00411A75">
              <w:rPr>
                <w:color w:val="FFC000"/>
              </w:rPr>
              <w:t xml:space="preserve">Comment: </w:t>
            </w:r>
            <w:r w:rsidR="00BE5512" w:rsidRPr="00411A75">
              <w:rPr>
                <w:color w:val="FFC000"/>
              </w:rPr>
              <w:t xml:space="preserve">The changes </w:t>
            </w:r>
            <w:r w:rsidR="00411A75" w:rsidRPr="00411A75">
              <w:rPr>
                <w:color w:val="FFC000"/>
              </w:rPr>
              <w:t>in this section are supported but would greatly benefit from a series of diagrams</w:t>
            </w:r>
            <w:r w:rsidRPr="00411A75">
              <w:rPr>
                <w:color w:val="FFC000"/>
              </w:rPr>
              <w:t>.</w:t>
            </w:r>
            <w:r w:rsidR="00411A75" w:rsidRPr="00411A75">
              <w:rPr>
                <w:color w:val="FFC000"/>
              </w:rPr>
              <w:t xml:space="preserve"> See adjacent examples.</w:t>
            </w:r>
          </w:p>
        </w:tc>
        <w:tc>
          <w:tcPr>
            <w:tcW w:w="6913" w:type="dxa"/>
          </w:tcPr>
          <w:p w14:paraId="6271EF4B" w14:textId="2C35BF6B" w:rsidR="001F5E65" w:rsidRDefault="0089526D" w:rsidP="001F5E65">
            <w:pPr>
              <w:pStyle w:val="Normaltable"/>
              <w:rPr>
                <w:color w:val="FFC000"/>
              </w:rPr>
            </w:pPr>
            <w:r w:rsidRPr="0089526D">
              <w:rPr>
                <w:color w:val="FFC000"/>
              </w:rPr>
              <w:t xml:space="preserve">It is suggested that diagrams </w:t>
            </w:r>
            <w:r w:rsidR="00F86391">
              <w:rPr>
                <w:color w:val="FFC000"/>
              </w:rPr>
              <w:t xml:space="preserve">similar to those below </w:t>
            </w:r>
            <w:r w:rsidRPr="0089526D">
              <w:rPr>
                <w:color w:val="FFC000"/>
              </w:rPr>
              <w:t>be provided:</w:t>
            </w:r>
          </w:p>
          <w:p w14:paraId="3F39B210" w14:textId="6980920F" w:rsidR="00554763" w:rsidRDefault="00554763" w:rsidP="003E5A65">
            <w:pPr>
              <w:pStyle w:val="Normaltable"/>
              <w:spacing w:before="0" w:after="20"/>
              <w:rPr>
                <w:color w:val="FFC000"/>
              </w:rPr>
            </w:pPr>
            <w:r>
              <w:rPr>
                <w:noProof/>
              </w:rPr>
              <w:drawing>
                <wp:inline distT="0" distB="0" distL="0" distR="0" wp14:anchorId="04703A25" wp14:editId="7FE7240B">
                  <wp:extent cx="2657475" cy="2529241"/>
                  <wp:effectExtent l="0" t="0" r="0" b="4445"/>
                  <wp:docPr id="6442368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605" cy="253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054EBA" w14:textId="71130E8A" w:rsidR="00554763" w:rsidRDefault="002F2E3C" w:rsidP="00243CF4">
            <w:pPr>
              <w:pStyle w:val="Normaltable"/>
              <w:spacing w:before="0" w:after="0"/>
              <w:rPr>
                <w:color w:val="FFC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A71626" wp14:editId="5ECE6C65">
                  <wp:extent cx="2642095" cy="2533650"/>
                  <wp:effectExtent l="0" t="0" r="6350" b="0"/>
                  <wp:docPr id="18263438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66" cy="254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0AAC7" w14:textId="412FE487" w:rsidR="00554763" w:rsidRDefault="002F2E3C" w:rsidP="00243CF4">
            <w:pPr>
              <w:pStyle w:val="Normaltable"/>
              <w:spacing w:before="0" w:after="0"/>
              <w:rPr>
                <w:color w:val="FFC000"/>
              </w:rPr>
            </w:pPr>
            <w:r>
              <w:rPr>
                <w:noProof/>
              </w:rPr>
              <w:drawing>
                <wp:inline distT="0" distB="0" distL="0" distR="0" wp14:anchorId="53C8196D" wp14:editId="7D631FF8">
                  <wp:extent cx="2641600" cy="2559685"/>
                  <wp:effectExtent l="0" t="0" r="6350" b="0"/>
                  <wp:docPr id="125374478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35" cy="256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20710A" w14:textId="5F0F71D5" w:rsidR="00554763" w:rsidRDefault="00EF7EBF" w:rsidP="00795653">
            <w:pPr>
              <w:pStyle w:val="Normaltable"/>
              <w:tabs>
                <w:tab w:val="left" w:pos="3361"/>
              </w:tabs>
              <w:spacing w:before="0" w:after="0"/>
              <w:rPr>
                <w:color w:val="FFC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2CA223" wp14:editId="3ED4D5B6">
                  <wp:extent cx="2609846" cy="2581275"/>
                  <wp:effectExtent l="0" t="0" r="635" b="0"/>
                  <wp:docPr id="14571927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43" cy="259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C6E18D" w14:textId="29B43EC9" w:rsidR="0089526D" w:rsidRPr="00B71947" w:rsidRDefault="00B71947" w:rsidP="00243CF4">
            <w:pPr>
              <w:pStyle w:val="Normaltable"/>
              <w:spacing w:before="0" w:after="0"/>
              <w:rPr>
                <w:color w:val="FFC000"/>
              </w:rPr>
            </w:pPr>
            <w:r>
              <w:rPr>
                <w:noProof/>
              </w:rPr>
              <w:drawing>
                <wp:inline distT="0" distB="0" distL="0" distR="0" wp14:anchorId="30D458DF" wp14:editId="4B6362DF">
                  <wp:extent cx="2600325" cy="2667000"/>
                  <wp:effectExtent l="0" t="0" r="9525" b="0"/>
                  <wp:docPr id="2347695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96" b="4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EBF" w:rsidRPr="00D84FB9" w14:paraId="779AF3D5" w14:textId="77777777" w:rsidTr="001D3BDA">
        <w:tc>
          <w:tcPr>
            <w:tcW w:w="1696" w:type="dxa"/>
          </w:tcPr>
          <w:p w14:paraId="720913D1" w14:textId="24BA92D5" w:rsidR="001F5E65" w:rsidRPr="00573DEE" w:rsidRDefault="00F7265F" w:rsidP="001F5E65">
            <w:pPr>
              <w:pStyle w:val="Normaltable"/>
            </w:pPr>
            <w:r w:rsidRPr="00557A66">
              <w:lastRenderedPageBreak/>
              <w:t>Section 3.4.9</w:t>
            </w:r>
            <w:r>
              <w:t xml:space="preserve"> and </w:t>
            </w:r>
            <w:r w:rsidRPr="00557A66">
              <w:t>Section 3.4.10</w:t>
            </w:r>
          </w:p>
        </w:tc>
        <w:tc>
          <w:tcPr>
            <w:tcW w:w="6237" w:type="dxa"/>
          </w:tcPr>
          <w:p w14:paraId="3176B95C" w14:textId="77777777" w:rsidR="001F5E65" w:rsidRDefault="001F5E65" w:rsidP="001F5E65">
            <w:pPr>
              <w:pStyle w:val="Normaltable"/>
            </w:pPr>
            <w:r w:rsidRPr="00557A66">
              <w:t>New guidance and clarification regarding collocation with detention basins (Section 3.4.9) and flood immunity requirements (Section 3.4.10).</w:t>
            </w:r>
          </w:p>
          <w:p w14:paraId="614A293E" w14:textId="02F11327" w:rsidR="00FD706E" w:rsidRPr="00A05DFC" w:rsidRDefault="00FD706E" w:rsidP="001F5E65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751D1426" w14:textId="482EB707" w:rsidR="001F5E65" w:rsidRPr="00D84FB9" w:rsidRDefault="00FD706E" w:rsidP="001F5E65">
            <w:pPr>
              <w:pStyle w:val="Normaltable"/>
            </w:pPr>
            <w:r w:rsidRPr="00F7265F">
              <w:rPr>
                <w:color w:val="00B050"/>
              </w:rPr>
              <w:t>N/A</w:t>
            </w:r>
          </w:p>
        </w:tc>
      </w:tr>
      <w:tr w:rsidR="00EF7EBF" w:rsidRPr="00D84FB9" w14:paraId="0C5A2618" w14:textId="77777777" w:rsidTr="001D3BDA">
        <w:tc>
          <w:tcPr>
            <w:tcW w:w="1696" w:type="dxa"/>
          </w:tcPr>
          <w:p w14:paraId="44B898ED" w14:textId="7E24E2BE" w:rsidR="00C927FA" w:rsidRPr="00573DEE" w:rsidRDefault="00C927FA" w:rsidP="00C927FA">
            <w:pPr>
              <w:pStyle w:val="Normaltable"/>
            </w:pPr>
            <w:r w:rsidRPr="00093750">
              <w:t>Section 3.5.3.2</w:t>
            </w:r>
          </w:p>
        </w:tc>
        <w:tc>
          <w:tcPr>
            <w:tcW w:w="6237" w:type="dxa"/>
          </w:tcPr>
          <w:p w14:paraId="32598D2B" w14:textId="77777777" w:rsidR="00C927FA" w:rsidRDefault="00C927FA" w:rsidP="00C927FA">
            <w:pPr>
              <w:pStyle w:val="Normaltable"/>
            </w:pPr>
            <w:r w:rsidRPr="00093750">
              <w:t>New advice regarding sediment capture in streetscape bioretention</w:t>
            </w:r>
          </w:p>
          <w:p w14:paraId="78CF9782" w14:textId="75787B2F" w:rsidR="00C927FA" w:rsidRPr="00A05DFC" w:rsidRDefault="00C927FA" w:rsidP="00C927FA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4EF44725" w14:textId="6041FC5C" w:rsidR="00C927FA" w:rsidRPr="00D84FB9" w:rsidRDefault="00C927FA" w:rsidP="00C927FA">
            <w:pPr>
              <w:pStyle w:val="Normaltable"/>
            </w:pPr>
            <w:r w:rsidRPr="00F7265F">
              <w:rPr>
                <w:color w:val="00B050"/>
              </w:rPr>
              <w:t>N/A</w:t>
            </w:r>
          </w:p>
        </w:tc>
      </w:tr>
      <w:tr w:rsidR="00EF7EBF" w:rsidRPr="00D84FB9" w14:paraId="761C0F3B" w14:textId="77777777" w:rsidTr="001D3BDA">
        <w:tc>
          <w:tcPr>
            <w:tcW w:w="1696" w:type="dxa"/>
          </w:tcPr>
          <w:p w14:paraId="66F3273D" w14:textId="222FCA28" w:rsidR="00C927FA" w:rsidRPr="00573DEE" w:rsidRDefault="00C927FA" w:rsidP="00C927FA">
            <w:pPr>
              <w:pStyle w:val="Normaltable"/>
            </w:pPr>
            <w:r w:rsidRPr="00093750">
              <w:t>Section 3.5.3.3</w:t>
            </w:r>
          </w:p>
        </w:tc>
        <w:tc>
          <w:tcPr>
            <w:tcW w:w="6237" w:type="dxa"/>
          </w:tcPr>
          <w:p w14:paraId="41D9459A" w14:textId="77777777" w:rsidR="00C927FA" w:rsidRDefault="00C927FA" w:rsidP="00C927FA">
            <w:pPr>
              <w:pStyle w:val="Normaltable"/>
            </w:pPr>
            <w:r w:rsidRPr="00093750">
              <w:t>Further guidance on the use of energy dissipation and alignment of sediment forebays</w:t>
            </w:r>
          </w:p>
          <w:p w14:paraId="19354639" w14:textId="2A1AA6E0" w:rsidR="00694530" w:rsidRPr="00A05DFC" w:rsidRDefault="00694530" w:rsidP="00C927FA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2BD3C43C" w14:textId="7748DAAF" w:rsidR="00C927FA" w:rsidRPr="00D84FB9" w:rsidRDefault="00694530" w:rsidP="00C927FA">
            <w:pPr>
              <w:pStyle w:val="Normaltable"/>
            </w:pPr>
            <w:r w:rsidRPr="00F7265F">
              <w:rPr>
                <w:color w:val="00B050"/>
              </w:rPr>
              <w:t>N/A</w:t>
            </w:r>
          </w:p>
        </w:tc>
      </w:tr>
      <w:tr w:rsidR="00EF7EBF" w:rsidRPr="00D84FB9" w14:paraId="421160E6" w14:textId="77777777" w:rsidTr="001D3BDA">
        <w:tc>
          <w:tcPr>
            <w:tcW w:w="1696" w:type="dxa"/>
          </w:tcPr>
          <w:p w14:paraId="7E7D9943" w14:textId="6DAA05B4" w:rsidR="00C927FA" w:rsidRPr="00573DEE" w:rsidRDefault="00C927FA" w:rsidP="00C927FA">
            <w:pPr>
              <w:pStyle w:val="Normaltable"/>
            </w:pPr>
            <w:r w:rsidRPr="00CB74FC">
              <w:t>Section 3.5.3.4</w:t>
            </w:r>
          </w:p>
        </w:tc>
        <w:tc>
          <w:tcPr>
            <w:tcW w:w="6237" w:type="dxa"/>
          </w:tcPr>
          <w:p w14:paraId="7BFF6CE0" w14:textId="77777777" w:rsidR="00C927FA" w:rsidRDefault="00C927FA" w:rsidP="00C927FA">
            <w:pPr>
              <w:pStyle w:val="Normaltable"/>
            </w:pPr>
            <w:r w:rsidRPr="00CB74FC">
              <w:t>Additional guidance on designing inlet ponds for large bioretention systems</w:t>
            </w:r>
          </w:p>
          <w:p w14:paraId="336D9AD3" w14:textId="5B80A009" w:rsidR="005737BA" w:rsidRPr="00A05DFC" w:rsidRDefault="005737BA" w:rsidP="00C927FA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0ED95152" w14:textId="4CF890F2" w:rsidR="00C927FA" w:rsidRPr="00D84FB9" w:rsidRDefault="005737BA" w:rsidP="00C927FA">
            <w:pPr>
              <w:pStyle w:val="Normaltable"/>
            </w:pPr>
            <w:r w:rsidRPr="00F7265F">
              <w:rPr>
                <w:color w:val="00B050"/>
              </w:rPr>
              <w:t>N/A</w:t>
            </w:r>
          </w:p>
        </w:tc>
      </w:tr>
      <w:tr w:rsidR="00EF7EBF" w:rsidRPr="00D84FB9" w14:paraId="0481719A" w14:textId="77777777" w:rsidTr="001D3BDA">
        <w:tc>
          <w:tcPr>
            <w:tcW w:w="1696" w:type="dxa"/>
          </w:tcPr>
          <w:p w14:paraId="20444317" w14:textId="34C84956" w:rsidR="00C927FA" w:rsidRPr="00573DEE" w:rsidRDefault="00C927FA" w:rsidP="00C927FA">
            <w:pPr>
              <w:pStyle w:val="Normaltable"/>
            </w:pPr>
            <w:r w:rsidRPr="00CB74FC">
              <w:t>Section 3.5.6</w:t>
            </w:r>
          </w:p>
        </w:tc>
        <w:tc>
          <w:tcPr>
            <w:tcW w:w="6237" w:type="dxa"/>
          </w:tcPr>
          <w:p w14:paraId="501E7AE0" w14:textId="77777777" w:rsidR="00C927FA" w:rsidRDefault="00C927FA" w:rsidP="00C927FA">
            <w:pPr>
              <w:pStyle w:val="Normaltable"/>
            </w:pPr>
            <w:r w:rsidRPr="00CB74FC">
              <w:t>New information on how to manage baseflows into bioretention</w:t>
            </w:r>
          </w:p>
          <w:p w14:paraId="75CE9AA6" w14:textId="7088701A" w:rsidR="00FF7B22" w:rsidRPr="00A05DFC" w:rsidRDefault="00FF7B22" w:rsidP="00C927FA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120FD595" w14:textId="4B34A9C4" w:rsidR="00C927FA" w:rsidRPr="00D84FB9" w:rsidRDefault="00FF7B22" w:rsidP="00C927FA">
            <w:pPr>
              <w:pStyle w:val="Normaltable"/>
            </w:pPr>
            <w:r w:rsidRPr="00F7265F">
              <w:rPr>
                <w:color w:val="00B050"/>
              </w:rPr>
              <w:t>N/A</w:t>
            </w:r>
          </w:p>
        </w:tc>
      </w:tr>
      <w:tr w:rsidR="00EF7EBF" w:rsidRPr="00D84FB9" w14:paraId="7E4F7D42" w14:textId="77777777" w:rsidTr="001D3BDA">
        <w:tc>
          <w:tcPr>
            <w:tcW w:w="1696" w:type="dxa"/>
          </w:tcPr>
          <w:p w14:paraId="6358E664" w14:textId="58758DA7" w:rsidR="00C927FA" w:rsidRPr="00573DEE" w:rsidRDefault="00C927FA" w:rsidP="00C927FA">
            <w:pPr>
              <w:pStyle w:val="Normaltable"/>
            </w:pPr>
            <w:r w:rsidRPr="00001728">
              <w:lastRenderedPageBreak/>
              <w:t>Section 3.5.7</w:t>
            </w:r>
          </w:p>
        </w:tc>
        <w:tc>
          <w:tcPr>
            <w:tcW w:w="6237" w:type="dxa"/>
          </w:tcPr>
          <w:p w14:paraId="2C52FF46" w14:textId="77777777" w:rsidR="00C927FA" w:rsidRDefault="00C927FA" w:rsidP="00C927FA">
            <w:pPr>
              <w:pStyle w:val="Normaltable"/>
            </w:pPr>
            <w:r w:rsidRPr="00CB74FC">
              <w:t>Enhanced guidance on flow distribution</w:t>
            </w:r>
          </w:p>
          <w:p w14:paraId="648B672A" w14:textId="0717F879" w:rsidR="007A72E1" w:rsidRPr="00A05DFC" w:rsidRDefault="007A72E1" w:rsidP="00C927FA">
            <w:pPr>
              <w:pStyle w:val="Normaltable"/>
            </w:pPr>
            <w:r w:rsidRPr="00845430">
              <w:rPr>
                <w:color w:val="00B050"/>
              </w:rPr>
              <w:t>Comment: Changes supported, no further comment.</w:t>
            </w:r>
          </w:p>
        </w:tc>
        <w:tc>
          <w:tcPr>
            <w:tcW w:w="6913" w:type="dxa"/>
          </w:tcPr>
          <w:p w14:paraId="5301921E" w14:textId="5FC352A1" w:rsidR="00C927FA" w:rsidRPr="00D84FB9" w:rsidRDefault="007A72E1" w:rsidP="00C927FA">
            <w:pPr>
              <w:pStyle w:val="Normaltable"/>
            </w:pPr>
            <w:r w:rsidRPr="00F7265F">
              <w:rPr>
                <w:color w:val="00B050"/>
              </w:rPr>
              <w:t>N/A</w:t>
            </w:r>
          </w:p>
        </w:tc>
      </w:tr>
      <w:tr w:rsidR="00EF7EBF" w:rsidRPr="00D84FB9" w14:paraId="2BB15918" w14:textId="77777777" w:rsidTr="001D3BDA">
        <w:tc>
          <w:tcPr>
            <w:tcW w:w="1696" w:type="dxa"/>
          </w:tcPr>
          <w:p w14:paraId="4867C6C6" w14:textId="48FC3E72" w:rsidR="00C927FA" w:rsidRPr="00573DEE" w:rsidRDefault="00C927FA" w:rsidP="00C927FA">
            <w:pPr>
              <w:pStyle w:val="Normaltable"/>
            </w:pPr>
            <w:r w:rsidRPr="00001728">
              <w:t>Section 3.6.1.1</w:t>
            </w:r>
          </w:p>
        </w:tc>
        <w:tc>
          <w:tcPr>
            <w:tcW w:w="6237" w:type="dxa"/>
          </w:tcPr>
          <w:p w14:paraId="7A5586A1" w14:textId="77777777" w:rsidR="00C927FA" w:rsidRDefault="00C927FA" w:rsidP="00C927FA">
            <w:pPr>
              <w:pStyle w:val="Normaltable"/>
            </w:pPr>
            <w:r w:rsidRPr="00001728">
              <w:t>Reduced requirements for underdrainage cleanout points</w:t>
            </w:r>
          </w:p>
          <w:p w14:paraId="6C16301F" w14:textId="7111DF77" w:rsidR="00FC382F" w:rsidRPr="008B5902" w:rsidRDefault="00002B50" w:rsidP="00C927FA">
            <w:pPr>
              <w:pStyle w:val="Normaltable"/>
              <w:rPr>
                <w:color w:val="FF0000"/>
              </w:rPr>
            </w:pPr>
            <w:r w:rsidRPr="008B5902">
              <w:rPr>
                <w:color w:val="FF0000"/>
              </w:rPr>
              <w:t xml:space="preserve">Comment: </w:t>
            </w:r>
            <w:r w:rsidR="00713786" w:rsidRPr="008B5902">
              <w:rPr>
                <w:color w:val="FF0000"/>
              </w:rPr>
              <w:t>Stormwater</w:t>
            </w:r>
            <w:r w:rsidRPr="008B5902">
              <w:rPr>
                <w:color w:val="FF0000"/>
              </w:rPr>
              <w:t xml:space="preserve"> Queensland </w:t>
            </w:r>
            <w:r w:rsidR="00713786" w:rsidRPr="008B5902">
              <w:rPr>
                <w:color w:val="FF0000"/>
              </w:rPr>
              <w:t>believes</w:t>
            </w:r>
            <w:r w:rsidRPr="008B5902">
              <w:rPr>
                <w:color w:val="FF0000"/>
              </w:rPr>
              <w:t xml:space="preserve"> that the statement about damaged cleanout </w:t>
            </w:r>
            <w:r w:rsidR="00713786" w:rsidRPr="008B5902">
              <w:rPr>
                <w:color w:val="FF0000"/>
              </w:rPr>
              <w:t>pipes is</w:t>
            </w:r>
            <w:r w:rsidR="00454404" w:rsidRPr="008B5902">
              <w:rPr>
                <w:color w:val="FF0000"/>
              </w:rPr>
              <w:t xml:space="preserve"> greatly</w:t>
            </w:r>
            <w:r w:rsidR="00713786" w:rsidRPr="008B5902">
              <w:rPr>
                <w:color w:val="FF0000"/>
              </w:rPr>
              <w:t xml:space="preserve"> exaggerated, especially where they are protected</w:t>
            </w:r>
            <w:r w:rsidR="00454404" w:rsidRPr="008B5902">
              <w:rPr>
                <w:color w:val="FF0000"/>
              </w:rPr>
              <w:t xml:space="preserve"> by concrete</w:t>
            </w:r>
            <w:r w:rsidR="001F5FE3" w:rsidRPr="008B5902">
              <w:rPr>
                <w:color w:val="FF0000"/>
              </w:rPr>
              <w:t xml:space="preserve"> at the riser access points</w:t>
            </w:r>
            <w:r w:rsidR="00713786" w:rsidRPr="008B5902">
              <w:rPr>
                <w:color w:val="FF0000"/>
              </w:rPr>
              <w:t xml:space="preserve">. </w:t>
            </w:r>
          </w:p>
          <w:p w14:paraId="3E6CD4BC" w14:textId="5E5E5FE5" w:rsidR="006345E6" w:rsidRPr="008B5902" w:rsidRDefault="00FC382F" w:rsidP="006C235D">
            <w:pPr>
              <w:pStyle w:val="Normaltable"/>
              <w:rPr>
                <w:color w:val="FF0000"/>
              </w:rPr>
            </w:pPr>
            <w:r w:rsidRPr="008B5902">
              <w:rPr>
                <w:color w:val="FF0000"/>
              </w:rPr>
              <w:t xml:space="preserve">Similarly, the statement about flushing pipes from only the outlet pit </w:t>
            </w:r>
            <w:r w:rsidR="00717D22">
              <w:rPr>
                <w:color w:val="FF0000"/>
              </w:rPr>
              <w:t>is not relevant to many basins</w:t>
            </w:r>
            <w:r w:rsidR="00EB155C">
              <w:rPr>
                <w:color w:val="FF0000"/>
              </w:rPr>
              <w:t xml:space="preserve">, especially on </w:t>
            </w:r>
            <w:r w:rsidR="00EB155C">
              <w:rPr>
                <w:color w:val="FF0000"/>
              </w:rPr>
              <w:t xml:space="preserve">larger </w:t>
            </w:r>
            <w:r w:rsidR="00EB155C">
              <w:rPr>
                <w:color w:val="FF0000"/>
              </w:rPr>
              <w:t xml:space="preserve">basins </w:t>
            </w:r>
            <w:r w:rsidR="00EB155C">
              <w:rPr>
                <w:color w:val="FF0000"/>
              </w:rPr>
              <w:t>where long collector pipes accept flows from dozens of slotted pipes and cleaning each slotted pipe from the pit alone is not feasible.</w:t>
            </w:r>
            <w:r w:rsidR="00895039">
              <w:rPr>
                <w:color w:val="FF0000"/>
              </w:rPr>
              <w:t xml:space="preserve"> In most cases, flushing require</w:t>
            </w:r>
            <w:r w:rsidR="00E82867">
              <w:rPr>
                <w:color w:val="FF0000"/>
              </w:rPr>
              <w:t>s</w:t>
            </w:r>
            <w:r w:rsidR="00895039">
              <w:rPr>
                <w:color w:val="FF0000"/>
              </w:rPr>
              <w:t xml:space="preserve"> </w:t>
            </w:r>
            <w:r w:rsidR="00803A3C" w:rsidRPr="008B5902">
              <w:rPr>
                <w:color w:val="FF0000"/>
              </w:rPr>
              <w:t>work from both ends to be effective.</w:t>
            </w:r>
          </w:p>
          <w:p w14:paraId="240F9623" w14:textId="2D66D18D" w:rsidR="007E5FF7" w:rsidRPr="008B5902" w:rsidRDefault="00713786" w:rsidP="00C927FA">
            <w:pPr>
              <w:pStyle w:val="Normaltable"/>
              <w:rPr>
                <w:color w:val="FF0000"/>
              </w:rPr>
            </w:pPr>
            <w:r w:rsidRPr="008B5902">
              <w:rPr>
                <w:color w:val="FF0000"/>
              </w:rPr>
              <w:t>Moreover, in our experience, bioretention systems</w:t>
            </w:r>
            <w:r w:rsidR="000B4DFC" w:rsidRPr="008B5902">
              <w:rPr>
                <w:color w:val="FF0000"/>
              </w:rPr>
              <w:t xml:space="preserve">, including those correctly constructed and using the best media on the market </w:t>
            </w:r>
            <w:r w:rsidR="00BB6DC8" w:rsidRPr="008B5902">
              <w:rPr>
                <w:color w:val="FF0000"/>
              </w:rPr>
              <w:t xml:space="preserve">can </w:t>
            </w:r>
            <w:r w:rsidR="000D3810" w:rsidRPr="008B5902">
              <w:rPr>
                <w:color w:val="FF0000"/>
              </w:rPr>
              <w:t xml:space="preserve">significantly block with </w:t>
            </w:r>
            <w:r w:rsidR="005D34B0" w:rsidRPr="008B5902">
              <w:rPr>
                <w:color w:val="FF0000"/>
              </w:rPr>
              <w:t xml:space="preserve">fine </w:t>
            </w:r>
            <w:r w:rsidR="000D3810" w:rsidRPr="008B5902">
              <w:rPr>
                <w:color w:val="FF0000"/>
              </w:rPr>
              <w:t xml:space="preserve">sediment </w:t>
            </w:r>
            <w:r w:rsidR="00CC7A49" w:rsidRPr="008B5902">
              <w:rPr>
                <w:color w:val="FF0000"/>
              </w:rPr>
              <w:t>(mostly likely from the media itself) and require</w:t>
            </w:r>
            <w:r w:rsidR="000D3810" w:rsidRPr="008B5902">
              <w:rPr>
                <w:color w:val="FF0000"/>
              </w:rPr>
              <w:t xml:space="preserve"> </w:t>
            </w:r>
            <w:r w:rsidR="000B4DFC" w:rsidRPr="008B5902">
              <w:rPr>
                <w:color w:val="FF0000"/>
              </w:rPr>
              <w:t>flush out</w:t>
            </w:r>
            <w:r w:rsidR="005D34B0" w:rsidRPr="008B5902">
              <w:rPr>
                <w:color w:val="FF0000"/>
              </w:rPr>
              <w:t xml:space="preserve">. </w:t>
            </w:r>
            <w:r w:rsidR="007C49B8" w:rsidRPr="008B5902">
              <w:rPr>
                <w:color w:val="FF0000"/>
              </w:rPr>
              <w:t>As an example, t</w:t>
            </w:r>
            <w:r w:rsidR="005D34B0" w:rsidRPr="008B5902">
              <w:rPr>
                <w:color w:val="FF0000"/>
              </w:rPr>
              <w:t xml:space="preserve">he photos </w:t>
            </w:r>
            <w:r w:rsidR="00972029" w:rsidRPr="008B5902">
              <w:rPr>
                <w:color w:val="FF0000"/>
              </w:rPr>
              <w:t>below</w:t>
            </w:r>
            <w:r w:rsidR="005D34B0" w:rsidRPr="008B5902">
              <w:rPr>
                <w:color w:val="FF0000"/>
              </w:rPr>
              <w:t xml:space="preserve"> show </w:t>
            </w:r>
            <w:r w:rsidR="007C49B8" w:rsidRPr="008B5902">
              <w:rPr>
                <w:color w:val="FF0000"/>
              </w:rPr>
              <w:t xml:space="preserve">a </w:t>
            </w:r>
            <w:r w:rsidR="006B192E">
              <w:rPr>
                <w:color w:val="FF0000"/>
              </w:rPr>
              <w:t>c</w:t>
            </w:r>
            <w:r w:rsidR="00677215">
              <w:rPr>
                <w:color w:val="FF0000"/>
              </w:rPr>
              <w:t xml:space="preserve">orrectly </w:t>
            </w:r>
            <w:r w:rsidR="006B192E">
              <w:rPr>
                <w:color w:val="FF0000"/>
              </w:rPr>
              <w:t xml:space="preserve">constructed, lined system, with </w:t>
            </w:r>
            <w:r w:rsidR="006A346C">
              <w:rPr>
                <w:color w:val="FF0000"/>
              </w:rPr>
              <w:t xml:space="preserve">filter </w:t>
            </w:r>
            <w:r w:rsidR="006B192E">
              <w:rPr>
                <w:color w:val="FF0000"/>
              </w:rPr>
              <w:t>media</w:t>
            </w:r>
            <w:r w:rsidR="007C49B8" w:rsidRPr="008B5902">
              <w:rPr>
                <w:color w:val="FF0000"/>
              </w:rPr>
              <w:t xml:space="preserve"> </w:t>
            </w:r>
            <w:r w:rsidR="006A346C">
              <w:rPr>
                <w:color w:val="FF0000"/>
              </w:rPr>
              <w:t xml:space="preserve">from of SEQ’s best suppliers and </w:t>
            </w:r>
            <w:r w:rsidR="007C49B8" w:rsidRPr="008B5902">
              <w:rPr>
                <w:color w:val="FF0000"/>
              </w:rPr>
              <w:t>which only experienced direct rainfall (no stormwater) prior to inspection</w:t>
            </w:r>
            <w:r w:rsidR="004405A9">
              <w:rPr>
                <w:color w:val="FF0000"/>
              </w:rPr>
              <w:t xml:space="preserve">. In this system, all </w:t>
            </w:r>
            <w:r w:rsidR="007C49B8" w:rsidRPr="008B5902">
              <w:rPr>
                <w:color w:val="FF0000"/>
              </w:rPr>
              <w:t xml:space="preserve">pipes </w:t>
            </w:r>
            <w:r w:rsidR="00947946" w:rsidRPr="008B5902">
              <w:rPr>
                <w:color w:val="FF0000"/>
              </w:rPr>
              <w:t xml:space="preserve">(slotted and collector) </w:t>
            </w:r>
            <w:r w:rsidR="007C49B8" w:rsidRPr="008B5902">
              <w:rPr>
                <w:color w:val="FF0000"/>
              </w:rPr>
              <w:t>were 60-100% blocked</w:t>
            </w:r>
            <w:r w:rsidR="00BE57F2" w:rsidRPr="008B5902">
              <w:rPr>
                <w:color w:val="FF0000"/>
              </w:rPr>
              <w:t xml:space="preserve">. On most pipes, the camera would not pass more than 1-2 </w:t>
            </w:r>
            <w:r w:rsidR="00BE57F2" w:rsidRPr="008B5902">
              <w:rPr>
                <w:color w:val="FF0000"/>
              </w:rPr>
              <w:lastRenderedPageBreak/>
              <w:t>meters into the pipe due to comple</w:t>
            </w:r>
            <w:r w:rsidR="00E82F79" w:rsidRPr="008B5902">
              <w:rPr>
                <w:color w:val="FF0000"/>
              </w:rPr>
              <w:t>te</w:t>
            </w:r>
            <w:r w:rsidR="00BE57F2" w:rsidRPr="008B5902">
              <w:rPr>
                <w:color w:val="FF0000"/>
              </w:rPr>
              <w:t xml:space="preserve"> blockage.</w:t>
            </w:r>
            <w:r w:rsidR="009A0B02">
              <w:rPr>
                <w:color w:val="FF0000"/>
              </w:rPr>
              <w:t xml:space="preserve"> </w:t>
            </w:r>
            <w:r w:rsidR="00FE7C6E">
              <w:rPr>
                <w:color w:val="FF0000"/>
              </w:rPr>
              <w:t>T</w:t>
            </w:r>
            <w:r w:rsidR="009A0B02">
              <w:rPr>
                <w:color w:val="FF0000"/>
              </w:rPr>
              <w:t xml:space="preserve">his can </w:t>
            </w:r>
            <w:r w:rsidR="00FE7C6E">
              <w:rPr>
                <w:color w:val="FF0000"/>
              </w:rPr>
              <w:t xml:space="preserve">clearly </w:t>
            </w:r>
            <w:r w:rsidR="009A0B02">
              <w:rPr>
                <w:color w:val="FF0000"/>
              </w:rPr>
              <w:t>happen on a system where everything goes right</w:t>
            </w:r>
            <w:r w:rsidR="00FE7C6E">
              <w:rPr>
                <w:color w:val="FF0000"/>
              </w:rPr>
              <w:t>.</w:t>
            </w:r>
            <w:r w:rsidR="009A0B02">
              <w:rPr>
                <w:color w:val="FF0000"/>
              </w:rPr>
              <w:t xml:space="preserve"> </w:t>
            </w:r>
          </w:p>
          <w:p w14:paraId="28A94668" w14:textId="239622B8" w:rsidR="00E82F79" w:rsidRPr="008B5902" w:rsidRDefault="00F06061" w:rsidP="00C927FA">
            <w:pPr>
              <w:pStyle w:val="Normaltable"/>
              <w:rPr>
                <w:color w:val="FF0000"/>
              </w:rPr>
            </w:pPr>
            <w:r>
              <w:rPr>
                <w:color w:val="FF0000"/>
              </w:rPr>
              <w:t xml:space="preserve">While </w:t>
            </w:r>
            <w:r w:rsidR="001F1562">
              <w:rPr>
                <w:color w:val="FF0000"/>
              </w:rPr>
              <w:t>such blockage</w:t>
            </w:r>
            <w:r>
              <w:rPr>
                <w:color w:val="FF0000"/>
              </w:rPr>
              <w:t xml:space="preserve"> may or may not be widespread, removing the inspection rises </w:t>
            </w:r>
            <w:r w:rsidR="000747C7">
              <w:rPr>
                <w:color w:val="FF0000"/>
              </w:rPr>
              <w:t>prevents the asset manager from effectively addressing it when it does</w:t>
            </w:r>
            <w:r w:rsidR="001F1562">
              <w:rPr>
                <w:color w:val="FF0000"/>
              </w:rPr>
              <w:t xml:space="preserve"> occur</w:t>
            </w:r>
            <w:r w:rsidR="000747C7">
              <w:rPr>
                <w:color w:val="FF0000"/>
              </w:rPr>
              <w:t>.</w:t>
            </w:r>
            <w:r w:rsidR="001D5C3D" w:rsidRPr="008B5902">
              <w:rPr>
                <w:color w:val="FF0000"/>
              </w:rPr>
              <w:t xml:space="preserve"> Suffice to say that the recommendation </w:t>
            </w:r>
            <w:r w:rsidR="0033590A">
              <w:rPr>
                <w:color w:val="FF0000"/>
              </w:rPr>
              <w:t xml:space="preserve">to </w:t>
            </w:r>
            <w:r w:rsidR="001D5C3D" w:rsidRPr="008B5902">
              <w:rPr>
                <w:color w:val="FF0000"/>
              </w:rPr>
              <w:t>remove the inspection rises is not supported.</w:t>
            </w:r>
          </w:p>
          <w:p w14:paraId="14F57B60" w14:textId="0B6B7925" w:rsidR="00572052" w:rsidRDefault="00572052" w:rsidP="00C927FA">
            <w:pPr>
              <w:pStyle w:val="Normaltable"/>
            </w:pPr>
            <w:r>
              <w:rPr>
                <w:noProof/>
              </w:rPr>
              <w:drawing>
                <wp:inline distT="0" distB="0" distL="0" distR="0" wp14:anchorId="3513448D" wp14:editId="577D4C4F">
                  <wp:extent cx="3200400" cy="2400234"/>
                  <wp:effectExtent l="0" t="0" r="0" b="635"/>
                  <wp:docPr id="1858628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54" cy="242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33365" w14:textId="7E8E9FE4" w:rsidR="00572052" w:rsidRDefault="00572052" w:rsidP="00C927FA">
            <w:pPr>
              <w:pStyle w:val="Normaltable"/>
            </w:pPr>
            <w:r>
              <w:rPr>
                <w:noProof/>
              </w:rPr>
              <w:lastRenderedPageBreak/>
              <w:drawing>
                <wp:inline distT="0" distB="0" distL="0" distR="0" wp14:anchorId="4098EA6F" wp14:editId="46376DD5">
                  <wp:extent cx="3248025" cy="2435950"/>
                  <wp:effectExtent l="0" t="0" r="0" b="2540"/>
                  <wp:docPr id="2481450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33" cy="245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9EB5F" w14:textId="5B0E4542" w:rsidR="00572052" w:rsidRDefault="00572052" w:rsidP="00C927FA">
            <w:pPr>
              <w:pStyle w:val="Normaltable"/>
            </w:pPr>
            <w:r>
              <w:rPr>
                <w:noProof/>
              </w:rPr>
              <w:drawing>
                <wp:inline distT="0" distB="0" distL="0" distR="0" wp14:anchorId="4D83D0FD" wp14:editId="22738EBB">
                  <wp:extent cx="3286125" cy="2464526"/>
                  <wp:effectExtent l="0" t="0" r="0" b="0"/>
                  <wp:docPr id="9239498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44" cy="2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16E99" w14:textId="6557EB83" w:rsidR="00C927FA" w:rsidRPr="00A05DFC" w:rsidRDefault="00C927FA" w:rsidP="00E82F79">
            <w:pPr>
              <w:pStyle w:val="Normaltable"/>
            </w:pPr>
          </w:p>
        </w:tc>
        <w:tc>
          <w:tcPr>
            <w:tcW w:w="6913" w:type="dxa"/>
          </w:tcPr>
          <w:p w14:paraId="6F191046" w14:textId="78654FAD" w:rsidR="00CB16D4" w:rsidRPr="004364DB" w:rsidRDefault="00DC2361" w:rsidP="00C927FA">
            <w:pPr>
              <w:pStyle w:val="Normaltable"/>
              <w:rPr>
                <w:color w:val="FF0000"/>
              </w:rPr>
            </w:pPr>
            <w:r w:rsidRPr="004364DB">
              <w:rPr>
                <w:color w:val="FF0000"/>
              </w:rPr>
              <w:lastRenderedPageBreak/>
              <w:t>Stormwater Queensland</w:t>
            </w:r>
            <w:r w:rsidRPr="004364DB">
              <w:rPr>
                <w:color w:val="FF0000"/>
              </w:rPr>
              <w:t xml:space="preserve"> strongly recommend</w:t>
            </w:r>
            <w:r w:rsidR="00097B9D" w:rsidRPr="004364DB">
              <w:rPr>
                <w:color w:val="FF0000"/>
              </w:rPr>
              <w:t>s</w:t>
            </w:r>
            <w:r w:rsidRPr="004364DB">
              <w:rPr>
                <w:color w:val="FF0000"/>
              </w:rPr>
              <w:t xml:space="preserve"> that the inspection risers be retained.</w:t>
            </w:r>
          </w:p>
          <w:p w14:paraId="06B9375D" w14:textId="732DC1D0" w:rsidR="009B5888" w:rsidRPr="004364DB" w:rsidRDefault="009C21A2" w:rsidP="00C927FA">
            <w:pPr>
              <w:pStyle w:val="Normaltable"/>
              <w:rPr>
                <w:color w:val="FF0000"/>
              </w:rPr>
            </w:pPr>
            <w:r w:rsidRPr="004364DB">
              <w:rPr>
                <w:color w:val="FF0000"/>
              </w:rPr>
              <w:t xml:space="preserve">It is also </w:t>
            </w:r>
            <w:r w:rsidR="00F45CB9" w:rsidRPr="004364DB">
              <w:rPr>
                <w:color w:val="FF0000"/>
              </w:rPr>
              <w:t>recommended</w:t>
            </w:r>
            <w:r w:rsidRPr="004364DB">
              <w:rPr>
                <w:color w:val="FF0000"/>
              </w:rPr>
              <w:t xml:space="preserve"> that the guidelines provide specific requirements for inspection </w:t>
            </w:r>
            <w:r w:rsidR="00F45CB9" w:rsidRPr="004364DB">
              <w:rPr>
                <w:color w:val="FF0000"/>
              </w:rPr>
              <w:t xml:space="preserve">(and clean out </w:t>
            </w:r>
            <w:r w:rsidR="004364DB" w:rsidRPr="004364DB">
              <w:rPr>
                <w:color w:val="FF0000"/>
              </w:rPr>
              <w:t xml:space="preserve">on an </w:t>
            </w:r>
            <w:r w:rsidR="00F45CB9" w:rsidRPr="004364DB">
              <w:rPr>
                <w:color w:val="FF0000"/>
              </w:rPr>
              <w:t xml:space="preserve">as-needs) </w:t>
            </w:r>
            <w:r w:rsidRPr="004364DB">
              <w:rPr>
                <w:color w:val="FF0000"/>
              </w:rPr>
              <w:t xml:space="preserve">of all biobasins following </w:t>
            </w:r>
            <w:r w:rsidR="00F45CB9" w:rsidRPr="004364DB">
              <w:rPr>
                <w:color w:val="FF0000"/>
              </w:rPr>
              <w:t>construction including slotted drainage pipes and collector pipes.</w:t>
            </w:r>
            <w:r w:rsidR="004364DB">
              <w:rPr>
                <w:color w:val="FF0000"/>
              </w:rPr>
              <w:t xml:space="preserve"> This should be made common-practice and if there </w:t>
            </w:r>
            <w:r w:rsidR="00526DC8">
              <w:rPr>
                <w:color w:val="FF0000"/>
              </w:rPr>
              <w:t xml:space="preserve">is widespread evidence </w:t>
            </w:r>
            <w:r w:rsidR="00E76213">
              <w:rPr>
                <w:color w:val="FF0000"/>
              </w:rPr>
              <w:t xml:space="preserve">at a later date </w:t>
            </w:r>
            <w:r w:rsidR="00526DC8">
              <w:rPr>
                <w:color w:val="FF0000"/>
              </w:rPr>
              <w:t xml:space="preserve">that </w:t>
            </w:r>
            <w:r w:rsidR="00E76213">
              <w:rPr>
                <w:color w:val="FF0000"/>
              </w:rPr>
              <w:t xml:space="preserve">the need for </w:t>
            </w:r>
            <w:r w:rsidR="00526DC8">
              <w:rPr>
                <w:color w:val="FF0000"/>
              </w:rPr>
              <w:t>clean-outs</w:t>
            </w:r>
            <w:r w:rsidR="00E76213">
              <w:rPr>
                <w:color w:val="FF0000"/>
              </w:rPr>
              <w:t xml:space="preserve"> is </w:t>
            </w:r>
            <w:r w:rsidR="00C94954">
              <w:rPr>
                <w:color w:val="FF0000"/>
              </w:rPr>
              <w:t>the exception rather that the rule</w:t>
            </w:r>
            <w:r w:rsidR="00526DC8">
              <w:rPr>
                <w:color w:val="FF0000"/>
              </w:rPr>
              <w:t>, only then should the revis</w:t>
            </w:r>
            <w:r w:rsidR="00C94954">
              <w:rPr>
                <w:color w:val="FF0000"/>
              </w:rPr>
              <w:t xml:space="preserve">ion of guideline </w:t>
            </w:r>
            <w:r w:rsidR="00526DC8">
              <w:rPr>
                <w:color w:val="FF0000"/>
              </w:rPr>
              <w:t>to exclude inspection risers</w:t>
            </w:r>
            <w:r w:rsidR="00C94954">
              <w:rPr>
                <w:color w:val="FF0000"/>
              </w:rPr>
              <w:t xml:space="preserve"> be considered.</w:t>
            </w:r>
          </w:p>
          <w:p w14:paraId="266580BB" w14:textId="36843348" w:rsidR="00CB16D4" w:rsidRPr="004364DB" w:rsidRDefault="00CB16D4" w:rsidP="00C927FA">
            <w:pPr>
              <w:pStyle w:val="Normaltable"/>
              <w:rPr>
                <w:color w:val="FF0000"/>
              </w:rPr>
            </w:pPr>
          </w:p>
          <w:p w14:paraId="73F969B7" w14:textId="642B9151" w:rsidR="00890F64" w:rsidRPr="004364DB" w:rsidRDefault="00890F64" w:rsidP="00C927FA">
            <w:pPr>
              <w:pStyle w:val="Normaltable"/>
              <w:rPr>
                <w:color w:val="FF0000"/>
              </w:rPr>
            </w:pPr>
          </w:p>
          <w:p w14:paraId="793CC729" w14:textId="6DCBCB15" w:rsidR="00BB6DC8" w:rsidRPr="004364DB" w:rsidRDefault="00BB6DC8" w:rsidP="00C927FA">
            <w:pPr>
              <w:pStyle w:val="Normaltable"/>
              <w:rPr>
                <w:color w:val="FF0000"/>
              </w:rPr>
            </w:pPr>
          </w:p>
        </w:tc>
      </w:tr>
      <w:tr w:rsidR="00EF7EBF" w:rsidRPr="00D84FB9" w14:paraId="3AC9B711" w14:textId="77777777" w:rsidTr="001D3BDA">
        <w:tc>
          <w:tcPr>
            <w:tcW w:w="1696" w:type="dxa"/>
          </w:tcPr>
          <w:p w14:paraId="25089BD4" w14:textId="1D0C2F29" w:rsidR="00C927FA" w:rsidRPr="00573DEE" w:rsidRDefault="00C927FA" w:rsidP="00C927FA">
            <w:pPr>
              <w:pStyle w:val="Normaltable"/>
            </w:pPr>
            <w:r w:rsidRPr="008467E1">
              <w:lastRenderedPageBreak/>
              <w:t>Section 3.6.1.4</w:t>
            </w:r>
          </w:p>
        </w:tc>
        <w:tc>
          <w:tcPr>
            <w:tcW w:w="6237" w:type="dxa"/>
          </w:tcPr>
          <w:p w14:paraId="05276559" w14:textId="77777777" w:rsidR="00C927FA" w:rsidRDefault="00C927FA" w:rsidP="00C927FA">
            <w:pPr>
              <w:pStyle w:val="Normaltable"/>
            </w:pPr>
            <w:r w:rsidRPr="00001728">
              <w:t>Alterations to pit and riser configurations for saturated zone systems</w:t>
            </w:r>
          </w:p>
          <w:p w14:paraId="564EDBDF" w14:textId="70952AED" w:rsidR="00803BDE" w:rsidRPr="00A05DFC" w:rsidRDefault="00803BDE" w:rsidP="00C927FA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2A55DB45" w14:textId="098BF988" w:rsidR="00C927FA" w:rsidRPr="00D84FB9" w:rsidRDefault="007A72E1" w:rsidP="00C927FA">
            <w:pPr>
              <w:pStyle w:val="Normaltable"/>
            </w:pPr>
            <w:r w:rsidRPr="00F7265F">
              <w:rPr>
                <w:color w:val="00B050"/>
              </w:rPr>
              <w:t>N/A</w:t>
            </w:r>
          </w:p>
        </w:tc>
      </w:tr>
      <w:tr w:rsidR="00EF7EBF" w:rsidRPr="00D84FB9" w14:paraId="717BCE95" w14:textId="77777777" w:rsidTr="001D3BDA">
        <w:tc>
          <w:tcPr>
            <w:tcW w:w="1696" w:type="dxa"/>
          </w:tcPr>
          <w:p w14:paraId="6E1D0D8F" w14:textId="5CA7256C" w:rsidR="00C927FA" w:rsidRPr="00573DEE" w:rsidRDefault="00C927FA" w:rsidP="00C927FA">
            <w:pPr>
              <w:pStyle w:val="Normaltable"/>
            </w:pPr>
            <w:r w:rsidRPr="008467E1">
              <w:t>Section 3.6.1.5</w:t>
            </w:r>
          </w:p>
        </w:tc>
        <w:tc>
          <w:tcPr>
            <w:tcW w:w="6237" w:type="dxa"/>
          </w:tcPr>
          <w:p w14:paraId="62176720" w14:textId="77777777" w:rsidR="00C927FA" w:rsidRDefault="00C927FA" w:rsidP="00C927FA">
            <w:pPr>
              <w:pStyle w:val="Normaltable"/>
            </w:pPr>
            <w:r w:rsidRPr="008467E1">
              <w:t>Guidance on the use of temporary upstands during plant establishment</w:t>
            </w:r>
          </w:p>
          <w:p w14:paraId="05283821" w14:textId="24B1E8E9" w:rsidR="006966FD" w:rsidRPr="0052039D" w:rsidRDefault="00803BDE" w:rsidP="00C927FA">
            <w:pPr>
              <w:pStyle w:val="Normaltable"/>
              <w:rPr>
                <w:color w:val="FFC000"/>
              </w:rPr>
            </w:pPr>
            <w:r w:rsidRPr="0052039D">
              <w:rPr>
                <w:color w:val="FFC000"/>
              </w:rPr>
              <w:t xml:space="preserve">Comment: </w:t>
            </w:r>
            <w:r w:rsidR="00AF051C" w:rsidRPr="0052039D">
              <w:rPr>
                <w:color w:val="FFC000"/>
              </w:rPr>
              <w:t xml:space="preserve">The recommendation to include the temporary </w:t>
            </w:r>
            <w:r w:rsidR="006966FD" w:rsidRPr="0052039D">
              <w:rPr>
                <w:color w:val="FFC000"/>
              </w:rPr>
              <w:t>upstand</w:t>
            </w:r>
            <w:r w:rsidR="00AF051C" w:rsidRPr="0052039D">
              <w:rPr>
                <w:color w:val="FFC000"/>
              </w:rPr>
              <w:t xml:space="preserve"> is supported however the suggested approach to </w:t>
            </w:r>
            <w:r w:rsidR="006966FD" w:rsidRPr="0052039D">
              <w:rPr>
                <w:color w:val="FFC000"/>
              </w:rPr>
              <w:t>have it as high as 150mm below surface level and gradually cut it down over 6-12 months is not supported.</w:t>
            </w:r>
          </w:p>
          <w:p w14:paraId="6B9E27D3" w14:textId="39F9337C" w:rsidR="00803BDE" w:rsidRPr="00A05DFC" w:rsidRDefault="003C23A2" w:rsidP="0052039D">
            <w:pPr>
              <w:pStyle w:val="Normaltable"/>
            </w:pPr>
            <w:r w:rsidRPr="0052039D">
              <w:rPr>
                <w:color w:val="FFC000"/>
              </w:rPr>
              <w:t>Filter media is not supposed be saturated for such prolonged periods otherwise it begins to leach nutrients.</w:t>
            </w:r>
            <w:r w:rsidR="005769CD" w:rsidRPr="0052039D">
              <w:rPr>
                <w:color w:val="FFC000"/>
              </w:rPr>
              <w:t xml:space="preserve"> Additionally, plants can draw on water well below their root zones using capillary action obviating the need to keep the water so high for so long. </w:t>
            </w:r>
          </w:p>
        </w:tc>
        <w:tc>
          <w:tcPr>
            <w:tcW w:w="6913" w:type="dxa"/>
          </w:tcPr>
          <w:p w14:paraId="4A7A2752" w14:textId="0AA9E7FF" w:rsidR="00C927FA" w:rsidRPr="003C1DF8" w:rsidRDefault="00974A94" w:rsidP="00C927FA">
            <w:pPr>
              <w:pStyle w:val="Normaltable"/>
              <w:rPr>
                <w:color w:val="FFC000"/>
              </w:rPr>
            </w:pPr>
            <w:r w:rsidRPr="003C1DF8">
              <w:rPr>
                <w:color w:val="FFC000"/>
              </w:rPr>
              <w:t>It is recommended that the temporary upstand be retained however</w:t>
            </w:r>
            <w:r w:rsidR="003C1DF8">
              <w:rPr>
                <w:color w:val="FFC000"/>
              </w:rPr>
              <w:t>,</w:t>
            </w:r>
            <w:r w:rsidRPr="003C1DF8">
              <w:rPr>
                <w:color w:val="FFC000"/>
              </w:rPr>
              <w:t xml:space="preserve"> it should </w:t>
            </w:r>
            <w:r w:rsidR="00FC457D" w:rsidRPr="003C1DF8">
              <w:rPr>
                <w:color w:val="FFC000"/>
              </w:rPr>
              <w:t>allow for no more that say ¼ of filter media depth to be saturated.</w:t>
            </w:r>
          </w:p>
          <w:p w14:paraId="6395102B" w14:textId="1FEA3056" w:rsidR="00FC457D" w:rsidRPr="003C1DF8" w:rsidRDefault="00FC457D" w:rsidP="00C927FA">
            <w:pPr>
              <w:pStyle w:val="Normaltable"/>
              <w:rPr>
                <w:color w:val="FFC000"/>
              </w:rPr>
            </w:pPr>
            <w:r w:rsidRPr="003C1DF8">
              <w:rPr>
                <w:color w:val="FFC000"/>
              </w:rPr>
              <w:t xml:space="preserve">The length of saturation is up for debate but </w:t>
            </w:r>
            <w:r w:rsidR="009706E2" w:rsidRPr="003C1DF8">
              <w:rPr>
                <w:color w:val="FFC000"/>
              </w:rPr>
              <w:t>could be at full height for first 3 months after planting</w:t>
            </w:r>
            <w:r w:rsidR="00A21879" w:rsidRPr="003C1DF8">
              <w:rPr>
                <w:color w:val="FFC000"/>
              </w:rPr>
              <w:t xml:space="preserve"> and then </w:t>
            </w:r>
            <w:r w:rsidR="00513036" w:rsidRPr="003C1DF8">
              <w:rPr>
                <w:color w:val="FFC000"/>
              </w:rPr>
              <w:t xml:space="preserve">halved for second subsequent 3 months and then </w:t>
            </w:r>
            <w:r w:rsidR="00A21879" w:rsidRPr="003C1DF8">
              <w:rPr>
                <w:color w:val="FFC000"/>
              </w:rPr>
              <w:t xml:space="preserve">drawn down to </w:t>
            </w:r>
            <w:r w:rsidR="00D95B29" w:rsidRPr="003C1DF8">
              <w:rPr>
                <w:color w:val="FFC000"/>
              </w:rPr>
              <w:t xml:space="preserve">the top of the transition layer for the </w:t>
            </w:r>
            <w:r w:rsidR="002A5D0C" w:rsidRPr="003C1DF8">
              <w:rPr>
                <w:color w:val="FFC000"/>
              </w:rPr>
              <w:t>subsequent</w:t>
            </w:r>
            <w:r w:rsidR="00D95B29" w:rsidRPr="003C1DF8">
              <w:rPr>
                <w:color w:val="FFC000"/>
              </w:rPr>
              <w:t xml:space="preserve"> 6 months. </w:t>
            </w:r>
          </w:p>
          <w:p w14:paraId="2D6AB3AD" w14:textId="4DA17033" w:rsidR="00D95B29" w:rsidRPr="00D84FB9" w:rsidRDefault="002A5D0C" w:rsidP="00C927FA">
            <w:pPr>
              <w:pStyle w:val="Normaltable"/>
            </w:pPr>
            <w:r w:rsidRPr="003C1DF8">
              <w:rPr>
                <w:color w:val="FFC000"/>
              </w:rPr>
              <w:t xml:space="preserve">Some aspect of the pipe should be retained at all times </w:t>
            </w:r>
            <w:r w:rsidR="004D5C1C">
              <w:rPr>
                <w:color w:val="FFC000"/>
              </w:rPr>
              <w:t>rather tha</w:t>
            </w:r>
            <w:r w:rsidR="001A046D">
              <w:rPr>
                <w:color w:val="FFC000"/>
              </w:rPr>
              <w:t>n</w:t>
            </w:r>
            <w:r w:rsidR="004D5C1C">
              <w:rPr>
                <w:color w:val="FFC000"/>
              </w:rPr>
              <w:t xml:space="preserve"> complete </w:t>
            </w:r>
            <w:r w:rsidR="001A046D">
              <w:rPr>
                <w:color w:val="FFC000"/>
              </w:rPr>
              <w:t>removal</w:t>
            </w:r>
            <w:r w:rsidR="004D5C1C">
              <w:rPr>
                <w:color w:val="FFC000"/>
              </w:rPr>
              <w:t xml:space="preserve"> </w:t>
            </w:r>
            <w:r w:rsidR="00C72EA2" w:rsidRPr="003C1DF8">
              <w:rPr>
                <w:color w:val="FFC000"/>
              </w:rPr>
              <w:t>even if it’s only the final 100mm</w:t>
            </w:r>
            <w:r w:rsidR="001A046D">
              <w:rPr>
                <w:color w:val="FFC000"/>
              </w:rPr>
              <w:t>,</w:t>
            </w:r>
            <w:r w:rsidR="00C72EA2" w:rsidRPr="003C1DF8">
              <w:rPr>
                <w:color w:val="FFC000"/>
              </w:rPr>
              <w:t xml:space="preserve"> </w:t>
            </w:r>
            <w:r w:rsidRPr="003C1DF8">
              <w:rPr>
                <w:color w:val="FFC000"/>
              </w:rPr>
              <w:t xml:space="preserve">allowing </w:t>
            </w:r>
            <w:r w:rsidR="001A046D">
              <w:rPr>
                <w:color w:val="FFC000"/>
              </w:rPr>
              <w:t xml:space="preserve">a connection for </w:t>
            </w:r>
            <w:r w:rsidR="00C72EA2" w:rsidRPr="003C1DF8">
              <w:rPr>
                <w:color w:val="FFC000"/>
              </w:rPr>
              <w:t xml:space="preserve">asset manages to re-instate the riser </w:t>
            </w:r>
            <w:r w:rsidR="003C1DF8" w:rsidRPr="003C1DF8">
              <w:rPr>
                <w:color w:val="FFC000"/>
              </w:rPr>
              <w:t>during drought for example</w:t>
            </w:r>
            <w:r w:rsidR="001A046D">
              <w:rPr>
                <w:color w:val="FFC000"/>
              </w:rPr>
              <w:t xml:space="preserve"> at little cost</w:t>
            </w:r>
            <w:r w:rsidR="003C1DF8" w:rsidRPr="003C1DF8">
              <w:rPr>
                <w:color w:val="FFC000"/>
              </w:rPr>
              <w:t>.</w:t>
            </w:r>
          </w:p>
        </w:tc>
      </w:tr>
      <w:tr w:rsidR="00EF7EBF" w:rsidRPr="00D84FB9" w14:paraId="7B19FDBB" w14:textId="77777777" w:rsidTr="001D3BDA">
        <w:tc>
          <w:tcPr>
            <w:tcW w:w="1696" w:type="dxa"/>
          </w:tcPr>
          <w:p w14:paraId="503FF798" w14:textId="4902A051" w:rsidR="00C927FA" w:rsidRPr="00573DEE" w:rsidRDefault="00C927FA" w:rsidP="00C927FA">
            <w:pPr>
              <w:pStyle w:val="Normaltable"/>
            </w:pPr>
            <w:r w:rsidRPr="008467E1">
              <w:t>Section 3.6.2.1</w:t>
            </w:r>
          </w:p>
        </w:tc>
        <w:tc>
          <w:tcPr>
            <w:tcW w:w="6237" w:type="dxa"/>
          </w:tcPr>
          <w:p w14:paraId="786335DB" w14:textId="77777777" w:rsidR="00C927FA" w:rsidRDefault="00C927FA" w:rsidP="00C927FA">
            <w:pPr>
              <w:pStyle w:val="Normaltable"/>
            </w:pPr>
            <w:r w:rsidRPr="008467E1">
              <w:t>Change to recommended raised dome grates rather than raised flat grates</w:t>
            </w:r>
          </w:p>
          <w:p w14:paraId="410A643A" w14:textId="259CC15B" w:rsidR="00803BDE" w:rsidRPr="00A05DFC" w:rsidRDefault="00803BDE" w:rsidP="00C927FA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46B3CF06" w14:textId="7D0BA794" w:rsidR="00C927FA" w:rsidRPr="00D84FB9" w:rsidRDefault="007A72E1" w:rsidP="00C927FA">
            <w:pPr>
              <w:pStyle w:val="Normaltable"/>
            </w:pPr>
            <w:r w:rsidRPr="00F7265F">
              <w:rPr>
                <w:color w:val="00B050"/>
              </w:rPr>
              <w:t>N/A</w:t>
            </w:r>
          </w:p>
        </w:tc>
      </w:tr>
      <w:tr w:rsidR="00EF7EBF" w:rsidRPr="00D84FB9" w14:paraId="7AB782B9" w14:textId="77777777" w:rsidTr="001D3BDA">
        <w:tc>
          <w:tcPr>
            <w:tcW w:w="1696" w:type="dxa"/>
          </w:tcPr>
          <w:p w14:paraId="0E897071" w14:textId="79D474CC" w:rsidR="00C927FA" w:rsidRPr="00573DEE" w:rsidRDefault="00C927FA" w:rsidP="00C927FA">
            <w:pPr>
              <w:pStyle w:val="Normaltable"/>
            </w:pPr>
            <w:r w:rsidRPr="00BE4D2E">
              <w:t>Section 3.7</w:t>
            </w:r>
          </w:p>
        </w:tc>
        <w:tc>
          <w:tcPr>
            <w:tcW w:w="6237" w:type="dxa"/>
          </w:tcPr>
          <w:p w14:paraId="14B6E3A4" w14:textId="77777777" w:rsidR="00C927FA" w:rsidRDefault="00C927FA" w:rsidP="00C927FA">
            <w:pPr>
              <w:pStyle w:val="Normaltable"/>
            </w:pPr>
            <w:r w:rsidRPr="00BE4D2E">
              <w:t xml:space="preserve">Expanded vegetation design section with much greater focus on planting to create resilient and low-maintenance ecosystems. The use of trees is now the default in all </w:t>
            </w:r>
            <w:r w:rsidRPr="00BE4D2E">
              <w:lastRenderedPageBreak/>
              <w:t>bioretention unless there is an overriding reason not to include them</w:t>
            </w:r>
          </w:p>
          <w:p w14:paraId="49AB4C75" w14:textId="09B29242" w:rsidR="00B31F34" w:rsidRPr="00A05DFC" w:rsidRDefault="00B31F34" w:rsidP="00C927FA">
            <w:pPr>
              <w:pStyle w:val="Normaltable"/>
            </w:pPr>
            <w:r w:rsidRPr="00845430">
              <w:rPr>
                <w:color w:val="00B050"/>
              </w:rPr>
              <w:t xml:space="preserve">Comment: Changes </w:t>
            </w:r>
            <w:r w:rsidR="00630A93">
              <w:rPr>
                <w:color w:val="00B050"/>
              </w:rPr>
              <w:t xml:space="preserve">generally </w:t>
            </w:r>
            <w:r w:rsidRPr="00845430">
              <w:rPr>
                <w:color w:val="00B050"/>
              </w:rPr>
              <w:t>supported, no further comment.</w:t>
            </w:r>
          </w:p>
        </w:tc>
        <w:tc>
          <w:tcPr>
            <w:tcW w:w="6913" w:type="dxa"/>
          </w:tcPr>
          <w:p w14:paraId="4BA10131" w14:textId="4328DA2B" w:rsidR="00C927FA" w:rsidRPr="00D84FB9" w:rsidRDefault="007A72E1" w:rsidP="00C927FA">
            <w:pPr>
              <w:pStyle w:val="Normaltable"/>
            </w:pPr>
            <w:r w:rsidRPr="00F7265F">
              <w:rPr>
                <w:color w:val="00B050"/>
              </w:rPr>
              <w:lastRenderedPageBreak/>
              <w:t>N/A</w:t>
            </w:r>
          </w:p>
        </w:tc>
      </w:tr>
      <w:tr w:rsidR="00EF7EBF" w:rsidRPr="00D84FB9" w14:paraId="564E3BD3" w14:textId="77777777" w:rsidTr="001D3BDA">
        <w:tc>
          <w:tcPr>
            <w:tcW w:w="1696" w:type="dxa"/>
          </w:tcPr>
          <w:p w14:paraId="017744AF" w14:textId="2296BDCF" w:rsidR="00C927FA" w:rsidRPr="00573DEE" w:rsidRDefault="00B31F34" w:rsidP="00C927FA">
            <w:pPr>
              <w:pStyle w:val="Normaltable"/>
            </w:pPr>
            <w:r>
              <w:t>Throughout</w:t>
            </w:r>
          </w:p>
        </w:tc>
        <w:tc>
          <w:tcPr>
            <w:tcW w:w="6237" w:type="dxa"/>
          </w:tcPr>
          <w:p w14:paraId="57929ECD" w14:textId="3C2597C2" w:rsidR="00C927FA" w:rsidRPr="00A05DFC" w:rsidRDefault="00C927FA" w:rsidP="00C927FA">
            <w:pPr>
              <w:pStyle w:val="Normaltable"/>
            </w:pPr>
            <w:r>
              <w:rPr>
                <w:color w:val="FFC000"/>
              </w:rPr>
              <w:t xml:space="preserve">Several figures are </w:t>
            </w:r>
            <w:r w:rsidRPr="005D293A">
              <w:rPr>
                <w:color w:val="FFC000"/>
              </w:rPr>
              <w:t>difficult to read</w:t>
            </w:r>
            <w:r>
              <w:rPr>
                <w:color w:val="FFC000"/>
              </w:rPr>
              <w:t xml:space="preserve">. </w:t>
            </w:r>
            <w:r w:rsidR="00B31F34">
              <w:rPr>
                <w:color w:val="FFC000"/>
              </w:rPr>
              <w:t>W</w:t>
            </w:r>
            <w:r w:rsidR="00EC4E45">
              <w:rPr>
                <w:color w:val="FFC000"/>
              </w:rPr>
              <w:t>h</w:t>
            </w:r>
            <w:r w:rsidR="00B31F34">
              <w:rPr>
                <w:color w:val="FFC000"/>
              </w:rPr>
              <w:t xml:space="preserve">ile this is the case for many figures, please consider the following in particular: </w:t>
            </w:r>
            <w:r>
              <w:rPr>
                <w:color w:val="FFC000"/>
              </w:rPr>
              <w:t xml:space="preserve">Figure 14, </w:t>
            </w:r>
            <w:r w:rsidRPr="007B4570">
              <w:rPr>
                <w:color w:val="FFC000"/>
              </w:rPr>
              <w:t xml:space="preserve">Figure </w:t>
            </w:r>
            <w:r w:rsidRPr="005D293A">
              <w:rPr>
                <w:color w:val="FFC000"/>
              </w:rPr>
              <w:t>17</w:t>
            </w:r>
            <w:r>
              <w:rPr>
                <w:color w:val="FFC000"/>
              </w:rPr>
              <w:t>, Figure 31</w:t>
            </w:r>
            <w:r w:rsidR="00FC0A30">
              <w:rPr>
                <w:color w:val="FFC000"/>
              </w:rPr>
              <w:t xml:space="preserve">, </w:t>
            </w:r>
            <w:r w:rsidR="00B130A4">
              <w:rPr>
                <w:color w:val="FFC000"/>
              </w:rPr>
              <w:t xml:space="preserve">Figure 55, Figure 56, </w:t>
            </w:r>
            <w:r w:rsidR="003375C6">
              <w:rPr>
                <w:color w:val="FFC000"/>
              </w:rPr>
              <w:t xml:space="preserve">Figure 57, </w:t>
            </w:r>
            <w:r w:rsidR="00FC0A30">
              <w:rPr>
                <w:color w:val="FFC000"/>
              </w:rPr>
              <w:t>Figure 79</w:t>
            </w:r>
            <w:r w:rsidR="00E07194">
              <w:rPr>
                <w:color w:val="FFC000"/>
              </w:rPr>
              <w:t xml:space="preserve"> &amp;</w:t>
            </w:r>
            <w:r w:rsidR="00EC4E45">
              <w:rPr>
                <w:color w:val="FFC000"/>
              </w:rPr>
              <w:t xml:space="preserve"> Figure 80</w:t>
            </w:r>
            <w:r w:rsidR="00E07194">
              <w:rPr>
                <w:color w:val="FFC000"/>
              </w:rPr>
              <w:t>.</w:t>
            </w:r>
          </w:p>
        </w:tc>
        <w:tc>
          <w:tcPr>
            <w:tcW w:w="6913" w:type="dxa"/>
          </w:tcPr>
          <w:p w14:paraId="2EE30547" w14:textId="246E20D6" w:rsidR="00C927FA" w:rsidRPr="00441128" w:rsidRDefault="00C927FA" w:rsidP="00C927FA">
            <w:pPr>
              <w:pStyle w:val="Normaltable"/>
              <w:rPr>
                <w:color w:val="FFC000"/>
              </w:rPr>
            </w:pPr>
            <w:r w:rsidRPr="00441128">
              <w:rPr>
                <w:color w:val="FFC000"/>
              </w:rPr>
              <w:t>Suggest providing high resolution versions of these figures</w:t>
            </w:r>
            <w:r w:rsidR="00FC0A30">
              <w:rPr>
                <w:color w:val="FFC000"/>
              </w:rPr>
              <w:t xml:space="preserve"> and increase the size of some of the more detailed </w:t>
            </w:r>
            <w:r w:rsidR="00E07194">
              <w:rPr>
                <w:color w:val="FFC000"/>
              </w:rPr>
              <w:t>cross sections</w:t>
            </w:r>
            <w:r w:rsidR="009B05F1">
              <w:rPr>
                <w:color w:val="FFC000"/>
              </w:rPr>
              <w:t xml:space="preserve"> (</w:t>
            </w:r>
            <w:r w:rsidR="00794F02">
              <w:rPr>
                <w:color w:val="FFC000"/>
              </w:rPr>
              <w:t>Figure 14</w:t>
            </w:r>
            <w:r w:rsidR="00794F02">
              <w:rPr>
                <w:color w:val="FFC000"/>
              </w:rPr>
              <w:t xml:space="preserve">, </w:t>
            </w:r>
            <w:r w:rsidR="009B05F1">
              <w:rPr>
                <w:color w:val="FFC000"/>
              </w:rPr>
              <w:t>Figure 79, Figure 80</w:t>
            </w:r>
            <w:r w:rsidR="009B05F1">
              <w:rPr>
                <w:color w:val="FFC000"/>
              </w:rPr>
              <w:t>)</w:t>
            </w:r>
            <w:r w:rsidRPr="00441128">
              <w:rPr>
                <w:color w:val="FFC000"/>
              </w:rPr>
              <w:t>.</w:t>
            </w:r>
          </w:p>
        </w:tc>
      </w:tr>
    </w:tbl>
    <w:p w14:paraId="14EC6248" w14:textId="32CF35CE" w:rsidR="00167BE9" w:rsidRPr="00A0447E" w:rsidRDefault="00167BE9" w:rsidP="00E14154">
      <w:pPr>
        <w:pStyle w:val="Bullet"/>
        <w:numPr>
          <w:ilvl w:val="0"/>
          <w:numId w:val="0"/>
        </w:numPr>
        <w:ind w:left="425"/>
      </w:pPr>
    </w:p>
    <w:sectPr w:rsidR="00167BE9" w:rsidRPr="00A0447E" w:rsidSect="001F774A">
      <w:headerReference w:type="default" r:id="rId21"/>
      <w:pgSz w:w="16840" w:h="11900" w:orient="landscape"/>
      <w:pgMar w:top="1701" w:right="992" w:bottom="1134" w:left="992" w:header="709" w:footer="42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156A0" w14:textId="77777777" w:rsidR="00C459AC" w:rsidRDefault="00C459AC" w:rsidP="00D84FB9">
      <w:r>
        <w:separator/>
      </w:r>
    </w:p>
  </w:endnote>
  <w:endnote w:type="continuationSeparator" w:id="0">
    <w:p w14:paraId="501011DD" w14:textId="77777777" w:rsidR="00C459AC" w:rsidRDefault="00C459AC" w:rsidP="00D8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Platypi">
    <w:altName w:val="Calibri"/>
    <w:charset w:val="00"/>
    <w:family w:val="auto"/>
    <w:pitch w:val="variable"/>
    <w:sig w:usb0="A10000FF" w:usb1="4000207B" w:usb2="00000000" w:usb3="00000000" w:csb0="0000019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0B552" w14:textId="4F252E4B" w:rsidR="00440AB3" w:rsidRDefault="001F774A" w:rsidP="00AC2747">
    <w:pPr>
      <w:spacing w:before="0" w:after="0"/>
      <w:jc w:val="right"/>
    </w:pPr>
    <w:r>
      <w:rPr>
        <w:noProof/>
      </w:rPr>
      <w:drawing>
        <wp:inline distT="0" distB="0" distL="0" distR="0" wp14:anchorId="70866916" wp14:editId="4BB5EC4F">
          <wp:extent cx="2880000" cy="700174"/>
          <wp:effectExtent l="0" t="0" r="0" b="5080"/>
          <wp:docPr id="7487814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700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B5380" w14:textId="77777777" w:rsidR="00C459AC" w:rsidRDefault="00C459AC" w:rsidP="00D84FB9">
      <w:r>
        <w:separator/>
      </w:r>
    </w:p>
  </w:footnote>
  <w:footnote w:type="continuationSeparator" w:id="0">
    <w:p w14:paraId="55F735D5" w14:textId="77777777" w:rsidR="00C459AC" w:rsidRDefault="00C459AC" w:rsidP="00D84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BC55B" w14:textId="60216400" w:rsidR="00440AB3" w:rsidRDefault="0053579E" w:rsidP="00D84FB9">
    <w:r>
      <w:rPr>
        <w:noProof/>
      </w:rPr>
      <w:drawing>
        <wp:anchor distT="0" distB="0" distL="114300" distR="114300" simplePos="0" relativeHeight="251668480" behindDoc="1" locked="0" layoutInCell="1" allowOverlap="1" wp14:anchorId="204228EF" wp14:editId="0E310149">
          <wp:simplePos x="0" y="0"/>
          <wp:positionH relativeFrom="page">
            <wp:posOffset>10852150</wp:posOffset>
          </wp:positionH>
          <wp:positionV relativeFrom="paragraph">
            <wp:posOffset>32385</wp:posOffset>
          </wp:positionV>
          <wp:extent cx="7559675" cy="9445625"/>
          <wp:effectExtent l="0" t="0" r="3175" b="3175"/>
          <wp:wrapNone/>
          <wp:docPr id="139821254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59675" cy="944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D93F668" wp14:editId="5B9BB2AF">
          <wp:simplePos x="0" y="0"/>
          <wp:positionH relativeFrom="page">
            <wp:align>right</wp:align>
          </wp:positionH>
          <wp:positionV relativeFrom="bottomMargin">
            <wp:posOffset>-7560945</wp:posOffset>
          </wp:positionV>
          <wp:extent cx="7560000" cy="9446400"/>
          <wp:effectExtent l="0" t="0" r="3175" b="2540"/>
          <wp:wrapNone/>
          <wp:docPr id="106238103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0000" cy="9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74A">
      <w:rPr>
        <w:noProof/>
      </w:rPr>
      <w:drawing>
        <wp:inline distT="0" distB="0" distL="0" distR="0" wp14:anchorId="5F3C9C50" wp14:editId="7AA06F10">
          <wp:extent cx="2880000" cy="552220"/>
          <wp:effectExtent l="0" t="0" r="0" b="635"/>
          <wp:docPr id="137800437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984003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552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1701E" w14:textId="3DE70872" w:rsidR="0053579E" w:rsidRDefault="005625CC" w:rsidP="00AC2747">
    <w:pPr>
      <w:spacing w:before="0" w:after="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99DF758" wp14:editId="69C98D40">
          <wp:simplePos x="0" y="0"/>
          <wp:positionH relativeFrom="page">
            <wp:posOffset>3136265</wp:posOffset>
          </wp:positionH>
          <wp:positionV relativeFrom="bottomMargin">
            <wp:posOffset>-7560945</wp:posOffset>
          </wp:positionV>
          <wp:extent cx="7560000" cy="9446400"/>
          <wp:effectExtent l="0" t="0" r="3175" b="2540"/>
          <wp:wrapNone/>
          <wp:docPr id="123782798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0000" cy="9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79E">
      <w:rPr>
        <w:noProof/>
      </w:rPr>
      <w:drawing>
        <wp:inline distT="0" distB="0" distL="0" distR="0" wp14:anchorId="72A7F502" wp14:editId="306F39ED">
          <wp:extent cx="2880000" cy="552220"/>
          <wp:effectExtent l="0" t="0" r="0" b="635"/>
          <wp:docPr id="50602129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984003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552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DFB9C2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77331B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F92C9E6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0D6040C4"/>
    <w:multiLevelType w:val="hybridMultilevel"/>
    <w:tmpl w:val="D534E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C507D"/>
    <w:multiLevelType w:val="multilevel"/>
    <w:tmpl w:val="C778EB54"/>
    <w:styleLink w:val="StyleNumbered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3A286065"/>
    <w:multiLevelType w:val="multilevel"/>
    <w:tmpl w:val="9AC0688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434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DB57A82"/>
    <w:multiLevelType w:val="multilevel"/>
    <w:tmpl w:val="4C34BE82"/>
    <w:styleLink w:val="Numberedheadings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1" w:hanging="15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4" w:hanging="181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98" w:hanging="20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1" w:hanging="238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65" w:hanging="2665"/>
      </w:pPr>
      <w:rPr>
        <w:rFonts w:hint="default"/>
      </w:rPr>
    </w:lvl>
  </w:abstractNum>
  <w:abstractNum w:abstractNumId="7" w15:restartNumberingAfterBreak="0">
    <w:nsid w:val="433B6828"/>
    <w:multiLevelType w:val="hybridMultilevel"/>
    <w:tmpl w:val="48AEBBA6"/>
    <w:lvl w:ilvl="0" w:tplc="30EE9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30C7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C0D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81F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ECF5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2033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7202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689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BE1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840B3"/>
    <w:multiLevelType w:val="hybridMultilevel"/>
    <w:tmpl w:val="83B076BC"/>
    <w:lvl w:ilvl="0" w:tplc="1040A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CA8C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92D2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02E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4B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DCA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87F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18D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9680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552A7"/>
    <w:multiLevelType w:val="multilevel"/>
    <w:tmpl w:val="B7EA22C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◦"/>
      <w:lvlJc w:val="left"/>
      <w:pPr>
        <w:tabs>
          <w:tab w:val="num" w:pos="1021"/>
        </w:tabs>
        <w:ind w:left="1021" w:hanging="341"/>
      </w:pPr>
      <w:rPr>
        <w:rFonts w:ascii="Arial" w:hAnsi="Arial" w:hint="default"/>
      </w:rPr>
    </w:lvl>
    <w:lvl w:ilvl="3">
      <w:start w:val="1"/>
      <w:numFmt w:val="bullet"/>
      <w:lvlText w:val="▪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–"/>
      <w:lvlJc w:val="left"/>
      <w:pPr>
        <w:tabs>
          <w:tab w:val="num" w:pos="1701"/>
        </w:tabs>
        <w:ind w:left="1701" w:hanging="340"/>
      </w:pPr>
      <w:rPr>
        <w:rFonts w:ascii="Arial" w:hAnsi="Aria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54557F91"/>
    <w:multiLevelType w:val="hybridMultilevel"/>
    <w:tmpl w:val="8B3E6E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B4856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19C6B6C"/>
    <w:multiLevelType w:val="hybridMultilevel"/>
    <w:tmpl w:val="7C4CF3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787B50"/>
    <w:multiLevelType w:val="hybridMultilevel"/>
    <w:tmpl w:val="EF808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E2912"/>
    <w:multiLevelType w:val="hybridMultilevel"/>
    <w:tmpl w:val="6B1ED5B4"/>
    <w:lvl w:ilvl="0" w:tplc="E77AB8DA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color w:val="035B77" w:themeColor="text2"/>
        <w:sz w:val="20"/>
        <w:szCs w:val="20"/>
      </w:rPr>
    </w:lvl>
    <w:lvl w:ilvl="1" w:tplc="3F20085C">
      <w:start w:val="5"/>
      <w:numFmt w:val="bullet"/>
      <w:lvlText w:val="-"/>
      <w:lvlJc w:val="left"/>
      <w:pPr>
        <w:ind w:left="2304" w:hanging="360"/>
      </w:pPr>
      <w:rPr>
        <w:rFonts w:ascii="Cambria" w:eastAsia="Cambria" w:hAnsi="Cambria" w:hint="default"/>
        <w:color w:val="0073AE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5" w15:restartNumberingAfterBreak="0">
    <w:nsid w:val="7E794143"/>
    <w:multiLevelType w:val="hybridMultilevel"/>
    <w:tmpl w:val="E0884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521685">
    <w:abstractNumId w:val="2"/>
  </w:num>
  <w:num w:numId="2" w16cid:durableId="117990164">
    <w:abstractNumId w:val="5"/>
  </w:num>
  <w:num w:numId="3" w16cid:durableId="452483054">
    <w:abstractNumId w:val="11"/>
  </w:num>
  <w:num w:numId="4" w16cid:durableId="1602176992">
    <w:abstractNumId w:val="9"/>
  </w:num>
  <w:num w:numId="5" w16cid:durableId="1232739732">
    <w:abstractNumId w:val="4"/>
  </w:num>
  <w:num w:numId="6" w16cid:durableId="669915768">
    <w:abstractNumId w:val="6"/>
  </w:num>
  <w:num w:numId="7" w16cid:durableId="412625948">
    <w:abstractNumId w:val="14"/>
  </w:num>
  <w:num w:numId="8" w16cid:durableId="727529946">
    <w:abstractNumId w:val="8"/>
  </w:num>
  <w:num w:numId="9" w16cid:durableId="134954028">
    <w:abstractNumId w:val="7"/>
  </w:num>
  <w:num w:numId="10" w16cid:durableId="271283343">
    <w:abstractNumId w:val="13"/>
  </w:num>
  <w:num w:numId="11" w16cid:durableId="1669600026">
    <w:abstractNumId w:val="0"/>
  </w:num>
  <w:num w:numId="12" w16cid:durableId="1563254619">
    <w:abstractNumId w:val="1"/>
  </w:num>
  <w:num w:numId="13" w16cid:durableId="1537502273">
    <w:abstractNumId w:val="12"/>
  </w:num>
  <w:num w:numId="14" w16cid:durableId="1901939556">
    <w:abstractNumId w:val="15"/>
  </w:num>
  <w:num w:numId="15" w16cid:durableId="1628584791">
    <w:abstractNumId w:val="10"/>
  </w:num>
  <w:num w:numId="16" w16cid:durableId="219828215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drawingGridHorizontalSpacing w:val="105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B3"/>
    <w:rsid w:val="00001728"/>
    <w:rsid w:val="00001F6F"/>
    <w:rsid w:val="00002B50"/>
    <w:rsid w:val="00004713"/>
    <w:rsid w:val="00005752"/>
    <w:rsid w:val="000064C5"/>
    <w:rsid w:val="00006DB6"/>
    <w:rsid w:val="00007D54"/>
    <w:rsid w:val="00011008"/>
    <w:rsid w:val="0001617C"/>
    <w:rsid w:val="00020FDC"/>
    <w:rsid w:val="00023F0A"/>
    <w:rsid w:val="00024695"/>
    <w:rsid w:val="00025A9A"/>
    <w:rsid w:val="00027761"/>
    <w:rsid w:val="00031521"/>
    <w:rsid w:val="000355D3"/>
    <w:rsid w:val="000379EB"/>
    <w:rsid w:val="00045114"/>
    <w:rsid w:val="00045D80"/>
    <w:rsid w:val="0005011C"/>
    <w:rsid w:val="0005032B"/>
    <w:rsid w:val="00052C46"/>
    <w:rsid w:val="00054457"/>
    <w:rsid w:val="00054E2C"/>
    <w:rsid w:val="0005526F"/>
    <w:rsid w:val="00055541"/>
    <w:rsid w:val="00056526"/>
    <w:rsid w:val="00062A52"/>
    <w:rsid w:val="00062BEE"/>
    <w:rsid w:val="00063164"/>
    <w:rsid w:val="000674C8"/>
    <w:rsid w:val="0006795B"/>
    <w:rsid w:val="000726F6"/>
    <w:rsid w:val="000747C7"/>
    <w:rsid w:val="00080923"/>
    <w:rsid w:val="00081493"/>
    <w:rsid w:val="00081CB9"/>
    <w:rsid w:val="000829A2"/>
    <w:rsid w:val="00083FD8"/>
    <w:rsid w:val="00087B60"/>
    <w:rsid w:val="0009355C"/>
    <w:rsid w:val="00093750"/>
    <w:rsid w:val="00095125"/>
    <w:rsid w:val="0009574B"/>
    <w:rsid w:val="00097B9D"/>
    <w:rsid w:val="00097EB0"/>
    <w:rsid w:val="000A0781"/>
    <w:rsid w:val="000A3D3D"/>
    <w:rsid w:val="000A6FC1"/>
    <w:rsid w:val="000B1A94"/>
    <w:rsid w:val="000B326B"/>
    <w:rsid w:val="000B3EBC"/>
    <w:rsid w:val="000B4DFC"/>
    <w:rsid w:val="000B6561"/>
    <w:rsid w:val="000C42FB"/>
    <w:rsid w:val="000C4CAF"/>
    <w:rsid w:val="000C4ED0"/>
    <w:rsid w:val="000C58EE"/>
    <w:rsid w:val="000C6FF2"/>
    <w:rsid w:val="000D0F65"/>
    <w:rsid w:val="000D17A9"/>
    <w:rsid w:val="000D1928"/>
    <w:rsid w:val="000D2077"/>
    <w:rsid w:val="000D3810"/>
    <w:rsid w:val="000D3847"/>
    <w:rsid w:val="000D4E28"/>
    <w:rsid w:val="000D54C8"/>
    <w:rsid w:val="000E0225"/>
    <w:rsid w:val="000E064D"/>
    <w:rsid w:val="000E17D7"/>
    <w:rsid w:val="000E203E"/>
    <w:rsid w:val="000E358A"/>
    <w:rsid w:val="000E561B"/>
    <w:rsid w:val="000F122A"/>
    <w:rsid w:val="000F1907"/>
    <w:rsid w:val="000F214A"/>
    <w:rsid w:val="000F33BE"/>
    <w:rsid w:val="000F3AD1"/>
    <w:rsid w:val="000F4F35"/>
    <w:rsid w:val="000F5FE9"/>
    <w:rsid w:val="000F78B1"/>
    <w:rsid w:val="001035A4"/>
    <w:rsid w:val="00104741"/>
    <w:rsid w:val="001065FA"/>
    <w:rsid w:val="001109FF"/>
    <w:rsid w:val="00113096"/>
    <w:rsid w:val="001149E8"/>
    <w:rsid w:val="00115994"/>
    <w:rsid w:val="001203DF"/>
    <w:rsid w:val="0012156B"/>
    <w:rsid w:val="00123183"/>
    <w:rsid w:val="001250FC"/>
    <w:rsid w:val="00125927"/>
    <w:rsid w:val="0012616E"/>
    <w:rsid w:val="001307CE"/>
    <w:rsid w:val="001308BE"/>
    <w:rsid w:val="0013189B"/>
    <w:rsid w:val="001345E8"/>
    <w:rsid w:val="00134BAD"/>
    <w:rsid w:val="00135302"/>
    <w:rsid w:val="00136DB9"/>
    <w:rsid w:val="00140BF9"/>
    <w:rsid w:val="00141B4F"/>
    <w:rsid w:val="001424BE"/>
    <w:rsid w:val="001438F0"/>
    <w:rsid w:val="00146D27"/>
    <w:rsid w:val="001500B3"/>
    <w:rsid w:val="001514B8"/>
    <w:rsid w:val="00151F6E"/>
    <w:rsid w:val="00152B21"/>
    <w:rsid w:val="00154929"/>
    <w:rsid w:val="00154C10"/>
    <w:rsid w:val="001556BF"/>
    <w:rsid w:val="001559B0"/>
    <w:rsid w:val="00155EC1"/>
    <w:rsid w:val="00156AF7"/>
    <w:rsid w:val="00156F03"/>
    <w:rsid w:val="001609E1"/>
    <w:rsid w:val="00160D5A"/>
    <w:rsid w:val="001610B3"/>
    <w:rsid w:val="00161282"/>
    <w:rsid w:val="00161816"/>
    <w:rsid w:val="00162119"/>
    <w:rsid w:val="00162542"/>
    <w:rsid w:val="0016322B"/>
    <w:rsid w:val="0016483E"/>
    <w:rsid w:val="001648A0"/>
    <w:rsid w:val="00164F63"/>
    <w:rsid w:val="00165622"/>
    <w:rsid w:val="00165628"/>
    <w:rsid w:val="00166198"/>
    <w:rsid w:val="00166BD4"/>
    <w:rsid w:val="001671DC"/>
    <w:rsid w:val="00167BE9"/>
    <w:rsid w:val="00171DC6"/>
    <w:rsid w:val="00172D1C"/>
    <w:rsid w:val="00172EAA"/>
    <w:rsid w:val="001752DC"/>
    <w:rsid w:val="00177258"/>
    <w:rsid w:val="0017746C"/>
    <w:rsid w:val="00177D61"/>
    <w:rsid w:val="00181504"/>
    <w:rsid w:val="00181885"/>
    <w:rsid w:val="00181C2B"/>
    <w:rsid w:val="0018499D"/>
    <w:rsid w:val="00185FBF"/>
    <w:rsid w:val="00186A48"/>
    <w:rsid w:val="00186B40"/>
    <w:rsid w:val="001878E0"/>
    <w:rsid w:val="00187D1A"/>
    <w:rsid w:val="001910EE"/>
    <w:rsid w:val="0019339B"/>
    <w:rsid w:val="00194E20"/>
    <w:rsid w:val="001A046D"/>
    <w:rsid w:val="001A1379"/>
    <w:rsid w:val="001A261C"/>
    <w:rsid w:val="001A6C4D"/>
    <w:rsid w:val="001A7D44"/>
    <w:rsid w:val="001A7E23"/>
    <w:rsid w:val="001B0CAC"/>
    <w:rsid w:val="001B3086"/>
    <w:rsid w:val="001B4685"/>
    <w:rsid w:val="001B57DB"/>
    <w:rsid w:val="001B652F"/>
    <w:rsid w:val="001C01A1"/>
    <w:rsid w:val="001C101B"/>
    <w:rsid w:val="001C335A"/>
    <w:rsid w:val="001C5F45"/>
    <w:rsid w:val="001C5FC8"/>
    <w:rsid w:val="001D0467"/>
    <w:rsid w:val="001D143D"/>
    <w:rsid w:val="001D1ABD"/>
    <w:rsid w:val="001D25D0"/>
    <w:rsid w:val="001D2B64"/>
    <w:rsid w:val="001D34E5"/>
    <w:rsid w:val="001D3BDA"/>
    <w:rsid w:val="001D4CEF"/>
    <w:rsid w:val="001D5674"/>
    <w:rsid w:val="001D5C3D"/>
    <w:rsid w:val="001D7989"/>
    <w:rsid w:val="001E2ACC"/>
    <w:rsid w:val="001E31C1"/>
    <w:rsid w:val="001E6E55"/>
    <w:rsid w:val="001E75F1"/>
    <w:rsid w:val="001F0C48"/>
    <w:rsid w:val="001F1562"/>
    <w:rsid w:val="001F2C92"/>
    <w:rsid w:val="001F4A98"/>
    <w:rsid w:val="001F4F03"/>
    <w:rsid w:val="001F5E65"/>
    <w:rsid w:val="001F5FE3"/>
    <w:rsid w:val="001F774A"/>
    <w:rsid w:val="00202740"/>
    <w:rsid w:val="00204D45"/>
    <w:rsid w:val="0020722F"/>
    <w:rsid w:val="002100BB"/>
    <w:rsid w:val="00210DB5"/>
    <w:rsid w:val="00211381"/>
    <w:rsid w:val="00216729"/>
    <w:rsid w:val="002179E7"/>
    <w:rsid w:val="0022121A"/>
    <w:rsid w:val="00225790"/>
    <w:rsid w:val="00225CF2"/>
    <w:rsid w:val="00225FBE"/>
    <w:rsid w:val="00227059"/>
    <w:rsid w:val="0023268A"/>
    <w:rsid w:val="00233836"/>
    <w:rsid w:val="00234D60"/>
    <w:rsid w:val="0023587E"/>
    <w:rsid w:val="0023661B"/>
    <w:rsid w:val="002366C1"/>
    <w:rsid w:val="00236F16"/>
    <w:rsid w:val="0024091A"/>
    <w:rsid w:val="00242F85"/>
    <w:rsid w:val="002437B7"/>
    <w:rsid w:val="00243CF4"/>
    <w:rsid w:val="002457B2"/>
    <w:rsid w:val="0025067F"/>
    <w:rsid w:val="00250D0B"/>
    <w:rsid w:val="00252D59"/>
    <w:rsid w:val="00252DDC"/>
    <w:rsid w:val="00253F45"/>
    <w:rsid w:val="00254B23"/>
    <w:rsid w:val="00254BBF"/>
    <w:rsid w:val="002564C8"/>
    <w:rsid w:val="00256DE7"/>
    <w:rsid w:val="00261722"/>
    <w:rsid w:val="00261958"/>
    <w:rsid w:val="0026373A"/>
    <w:rsid w:val="0026741A"/>
    <w:rsid w:val="00267CB6"/>
    <w:rsid w:val="00270BAB"/>
    <w:rsid w:val="00270BCB"/>
    <w:rsid w:val="00272CAE"/>
    <w:rsid w:val="00275BA5"/>
    <w:rsid w:val="0027721B"/>
    <w:rsid w:val="002829C4"/>
    <w:rsid w:val="002862BF"/>
    <w:rsid w:val="002863EE"/>
    <w:rsid w:val="00287A45"/>
    <w:rsid w:val="00293844"/>
    <w:rsid w:val="0029455A"/>
    <w:rsid w:val="00297472"/>
    <w:rsid w:val="002A17E7"/>
    <w:rsid w:val="002A41B0"/>
    <w:rsid w:val="002A5D0C"/>
    <w:rsid w:val="002A5EFD"/>
    <w:rsid w:val="002B02D2"/>
    <w:rsid w:val="002B09D8"/>
    <w:rsid w:val="002B0CF3"/>
    <w:rsid w:val="002B7687"/>
    <w:rsid w:val="002C19F8"/>
    <w:rsid w:val="002C3C17"/>
    <w:rsid w:val="002C5327"/>
    <w:rsid w:val="002C565A"/>
    <w:rsid w:val="002C5AA0"/>
    <w:rsid w:val="002D1A4A"/>
    <w:rsid w:val="002D2C3F"/>
    <w:rsid w:val="002D3754"/>
    <w:rsid w:val="002D709C"/>
    <w:rsid w:val="002D7CE4"/>
    <w:rsid w:val="002E0FD7"/>
    <w:rsid w:val="002F0B65"/>
    <w:rsid w:val="002F0EDD"/>
    <w:rsid w:val="002F1479"/>
    <w:rsid w:val="002F15DF"/>
    <w:rsid w:val="002F1827"/>
    <w:rsid w:val="002F251B"/>
    <w:rsid w:val="002F2E3C"/>
    <w:rsid w:val="002F403F"/>
    <w:rsid w:val="00300708"/>
    <w:rsid w:val="00301E76"/>
    <w:rsid w:val="003030E8"/>
    <w:rsid w:val="00303C3B"/>
    <w:rsid w:val="00304A1F"/>
    <w:rsid w:val="00304BA7"/>
    <w:rsid w:val="00304D9F"/>
    <w:rsid w:val="003052C5"/>
    <w:rsid w:val="003058B8"/>
    <w:rsid w:val="00307D75"/>
    <w:rsid w:val="00311BE7"/>
    <w:rsid w:val="00314167"/>
    <w:rsid w:val="003150A4"/>
    <w:rsid w:val="003163B5"/>
    <w:rsid w:val="003218ED"/>
    <w:rsid w:val="00322112"/>
    <w:rsid w:val="003228B1"/>
    <w:rsid w:val="00327C0D"/>
    <w:rsid w:val="00331189"/>
    <w:rsid w:val="00332465"/>
    <w:rsid w:val="003330F6"/>
    <w:rsid w:val="0033358C"/>
    <w:rsid w:val="003335AA"/>
    <w:rsid w:val="0033590A"/>
    <w:rsid w:val="003375C6"/>
    <w:rsid w:val="00340044"/>
    <w:rsid w:val="003455CD"/>
    <w:rsid w:val="00345EBB"/>
    <w:rsid w:val="0035086D"/>
    <w:rsid w:val="00353673"/>
    <w:rsid w:val="0035475A"/>
    <w:rsid w:val="00354981"/>
    <w:rsid w:val="0035650B"/>
    <w:rsid w:val="0035689F"/>
    <w:rsid w:val="00361679"/>
    <w:rsid w:val="00362FA1"/>
    <w:rsid w:val="0036356B"/>
    <w:rsid w:val="003659BF"/>
    <w:rsid w:val="003666B4"/>
    <w:rsid w:val="0036711A"/>
    <w:rsid w:val="0037063A"/>
    <w:rsid w:val="00370B10"/>
    <w:rsid w:val="00370E39"/>
    <w:rsid w:val="003714EE"/>
    <w:rsid w:val="0037348E"/>
    <w:rsid w:val="003735C5"/>
    <w:rsid w:val="003740AE"/>
    <w:rsid w:val="00375FD0"/>
    <w:rsid w:val="00376B46"/>
    <w:rsid w:val="00376CDE"/>
    <w:rsid w:val="003779BB"/>
    <w:rsid w:val="00377C27"/>
    <w:rsid w:val="00377D61"/>
    <w:rsid w:val="00380849"/>
    <w:rsid w:val="00381203"/>
    <w:rsid w:val="00383534"/>
    <w:rsid w:val="0038440A"/>
    <w:rsid w:val="00386D55"/>
    <w:rsid w:val="00391764"/>
    <w:rsid w:val="00391AB7"/>
    <w:rsid w:val="00392EF5"/>
    <w:rsid w:val="0039464B"/>
    <w:rsid w:val="00394AB5"/>
    <w:rsid w:val="0039578C"/>
    <w:rsid w:val="00396431"/>
    <w:rsid w:val="0039791A"/>
    <w:rsid w:val="003A0D4A"/>
    <w:rsid w:val="003A326A"/>
    <w:rsid w:val="003A73A9"/>
    <w:rsid w:val="003B1A96"/>
    <w:rsid w:val="003B1C08"/>
    <w:rsid w:val="003B252C"/>
    <w:rsid w:val="003B3BF9"/>
    <w:rsid w:val="003B4F03"/>
    <w:rsid w:val="003B65CF"/>
    <w:rsid w:val="003B73CB"/>
    <w:rsid w:val="003B77DB"/>
    <w:rsid w:val="003B7AA5"/>
    <w:rsid w:val="003C08B4"/>
    <w:rsid w:val="003C1DF8"/>
    <w:rsid w:val="003C23A2"/>
    <w:rsid w:val="003C283E"/>
    <w:rsid w:val="003C2F55"/>
    <w:rsid w:val="003C6C60"/>
    <w:rsid w:val="003D17AC"/>
    <w:rsid w:val="003D58BF"/>
    <w:rsid w:val="003D5F91"/>
    <w:rsid w:val="003E1442"/>
    <w:rsid w:val="003E1EFC"/>
    <w:rsid w:val="003E5A65"/>
    <w:rsid w:val="003E64D0"/>
    <w:rsid w:val="003E6BEF"/>
    <w:rsid w:val="003F1D3D"/>
    <w:rsid w:val="003F2028"/>
    <w:rsid w:val="003F27AD"/>
    <w:rsid w:val="003F2C48"/>
    <w:rsid w:val="003F2DB1"/>
    <w:rsid w:val="003F3C74"/>
    <w:rsid w:val="003F6B2E"/>
    <w:rsid w:val="003F71C1"/>
    <w:rsid w:val="00400259"/>
    <w:rsid w:val="00401E91"/>
    <w:rsid w:val="004031F1"/>
    <w:rsid w:val="0040343E"/>
    <w:rsid w:val="00403E23"/>
    <w:rsid w:val="00404704"/>
    <w:rsid w:val="00407F63"/>
    <w:rsid w:val="00411A75"/>
    <w:rsid w:val="00414961"/>
    <w:rsid w:val="00414D3F"/>
    <w:rsid w:val="00414F99"/>
    <w:rsid w:val="004156CF"/>
    <w:rsid w:val="0041793F"/>
    <w:rsid w:val="00422128"/>
    <w:rsid w:val="00422268"/>
    <w:rsid w:val="004247C4"/>
    <w:rsid w:val="004256F6"/>
    <w:rsid w:val="00426150"/>
    <w:rsid w:val="00426A29"/>
    <w:rsid w:val="00426C20"/>
    <w:rsid w:val="004270F7"/>
    <w:rsid w:val="00427554"/>
    <w:rsid w:val="004305EC"/>
    <w:rsid w:val="004364DB"/>
    <w:rsid w:val="00437FAA"/>
    <w:rsid w:val="004405A9"/>
    <w:rsid w:val="00440AB3"/>
    <w:rsid w:val="00441128"/>
    <w:rsid w:val="00441580"/>
    <w:rsid w:val="00441704"/>
    <w:rsid w:val="004435C1"/>
    <w:rsid w:val="0044496F"/>
    <w:rsid w:val="00444E1A"/>
    <w:rsid w:val="004450A2"/>
    <w:rsid w:val="004468C5"/>
    <w:rsid w:val="004520EF"/>
    <w:rsid w:val="004532A8"/>
    <w:rsid w:val="0045369F"/>
    <w:rsid w:val="00453F9E"/>
    <w:rsid w:val="00454404"/>
    <w:rsid w:val="00455C43"/>
    <w:rsid w:val="004569FC"/>
    <w:rsid w:val="00457D62"/>
    <w:rsid w:val="004603BC"/>
    <w:rsid w:val="00460D7D"/>
    <w:rsid w:val="00460F55"/>
    <w:rsid w:val="004623CF"/>
    <w:rsid w:val="00462918"/>
    <w:rsid w:val="00462A0A"/>
    <w:rsid w:val="00462AB6"/>
    <w:rsid w:val="00462DAA"/>
    <w:rsid w:val="00463737"/>
    <w:rsid w:val="00467F91"/>
    <w:rsid w:val="00470A6F"/>
    <w:rsid w:val="004730D4"/>
    <w:rsid w:val="00473474"/>
    <w:rsid w:val="0047653C"/>
    <w:rsid w:val="00480609"/>
    <w:rsid w:val="00482423"/>
    <w:rsid w:val="00484D4C"/>
    <w:rsid w:val="0048508D"/>
    <w:rsid w:val="004851D7"/>
    <w:rsid w:val="004866B8"/>
    <w:rsid w:val="0049340F"/>
    <w:rsid w:val="00494A08"/>
    <w:rsid w:val="00497191"/>
    <w:rsid w:val="004972A1"/>
    <w:rsid w:val="004A0E37"/>
    <w:rsid w:val="004A2760"/>
    <w:rsid w:val="004A2D72"/>
    <w:rsid w:val="004A5322"/>
    <w:rsid w:val="004A551F"/>
    <w:rsid w:val="004A78D8"/>
    <w:rsid w:val="004A7BDA"/>
    <w:rsid w:val="004B2B80"/>
    <w:rsid w:val="004B347D"/>
    <w:rsid w:val="004C266C"/>
    <w:rsid w:val="004C6245"/>
    <w:rsid w:val="004C668C"/>
    <w:rsid w:val="004C6853"/>
    <w:rsid w:val="004C698F"/>
    <w:rsid w:val="004D0364"/>
    <w:rsid w:val="004D0669"/>
    <w:rsid w:val="004D0734"/>
    <w:rsid w:val="004D19FB"/>
    <w:rsid w:val="004D2FC5"/>
    <w:rsid w:val="004D4178"/>
    <w:rsid w:val="004D50E7"/>
    <w:rsid w:val="004D5C1C"/>
    <w:rsid w:val="004E2456"/>
    <w:rsid w:val="004E35CF"/>
    <w:rsid w:val="004E5D59"/>
    <w:rsid w:val="004E679E"/>
    <w:rsid w:val="004F1462"/>
    <w:rsid w:val="004F1F38"/>
    <w:rsid w:val="004F4696"/>
    <w:rsid w:val="004F65B2"/>
    <w:rsid w:val="00500045"/>
    <w:rsid w:val="0050054D"/>
    <w:rsid w:val="00501AC2"/>
    <w:rsid w:val="0050207A"/>
    <w:rsid w:val="00503304"/>
    <w:rsid w:val="00504B80"/>
    <w:rsid w:val="0050705A"/>
    <w:rsid w:val="00511BCE"/>
    <w:rsid w:val="00511E44"/>
    <w:rsid w:val="00512231"/>
    <w:rsid w:val="00513036"/>
    <w:rsid w:val="00513526"/>
    <w:rsid w:val="00514ED0"/>
    <w:rsid w:val="00517EF1"/>
    <w:rsid w:val="0052039D"/>
    <w:rsid w:val="00520B61"/>
    <w:rsid w:val="00521E09"/>
    <w:rsid w:val="0052318F"/>
    <w:rsid w:val="00523AD5"/>
    <w:rsid w:val="00526DC8"/>
    <w:rsid w:val="00527581"/>
    <w:rsid w:val="00527AF6"/>
    <w:rsid w:val="00531355"/>
    <w:rsid w:val="005313CD"/>
    <w:rsid w:val="00531A06"/>
    <w:rsid w:val="0053579E"/>
    <w:rsid w:val="00535B94"/>
    <w:rsid w:val="005419CE"/>
    <w:rsid w:val="0054256E"/>
    <w:rsid w:val="005439EE"/>
    <w:rsid w:val="00544B5A"/>
    <w:rsid w:val="00545A92"/>
    <w:rsid w:val="00547C59"/>
    <w:rsid w:val="00550CDA"/>
    <w:rsid w:val="0055246F"/>
    <w:rsid w:val="005531D8"/>
    <w:rsid w:val="00554763"/>
    <w:rsid w:val="00554B32"/>
    <w:rsid w:val="00555819"/>
    <w:rsid w:val="005558DF"/>
    <w:rsid w:val="00557625"/>
    <w:rsid w:val="00557A66"/>
    <w:rsid w:val="00561413"/>
    <w:rsid w:val="005625CC"/>
    <w:rsid w:val="00562A06"/>
    <w:rsid w:val="00563D4F"/>
    <w:rsid w:val="00564859"/>
    <w:rsid w:val="00565F3B"/>
    <w:rsid w:val="005662AC"/>
    <w:rsid w:val="00570268"/>
    <w:rsid w:val="00571C23"/>
    <w:rsid w:val="00571F25"/>
    <w:rsid w:val="00572052"/>
    <w:rsid w:val="005721C1"/>
    <w:rsid w:val="00572EA0"/>
    <w:rsid w:val="005736B2"/>
    <w:rsid w:val="005737BA"/>
    <w:rsid w:val="00573DEE"/>
    <w:rsid w:val="00575123"/>
    <w:rsid w:val="00575F7A"/>
    <w:rsid w:val="005769CD"/>
    <w:rsid w:val="00582D41"/>
    <w:rsid w:val="00582F38"/>
    <w:rsid w:val="0058377F"/>
    <w:rsid w:val="0058546D"/>
    <w:rsid w:val="00585CD1"/>
    <w:rsid w:val="00586530"/>
    <w:rsid w:val="00590ABD"/>
    <w:rsid w:val="005914AC"/>
    <w:rsid w:val="00591E75"/>
    <w:rsid w:val="00592E3F"/>
    <w:rsid w:val="00593DD8"/>
    <w:rsid w:val="00596642"/>
    <w:rsid w:val="00596D50"/>
    <w:rsid w:val="005A17CA"/>
    <w:rsid w:val="005A3DE5"/>
    <w:rsid w:val="005A5CF3"/>
    <w:rsid w:val="005A5F09"/>
    <w:rsid w:val="005B02AE"/>
    <w:rsid w:val="005B0B6F"/>
    <w:rsid w:val="005B1ABC"/>
    <w:rsid w:val="005B2C44"/>
    <w:rsid w:val="005B3383"/>
    <w:rsid w:val="005B455D"/>
    <w:rsid w:val="005C0792"/>
    <w:rsid w:val="005C0FFF"/>
    <w:rsid w:val="005C32A0"/>
    <w:rsid w:val="005C3913"/>
    <w:rsid w:val="005C46E1"/>
    <w:rsid w:val="005C7165"/>
    <w:rsid w:val="005C7ACF"/>
    <w:rsid w:val="005D05EA"/>
    <w:rsid w:val="005D12CA"/>
    <w:rsid w:val="005D1773"/>
    <w:rsid w:val="005D22E6"/>
    <w:rsid w:val="005D293A"/>
    <w:rsid w:val="005D34B0"/>
    <w:rsid w:val="005D747E"/>
    <w:rsid w:val="005E0C71"/>
    <w:rsid w:val="005E1776"/>
    <w:rsid w:val="005E3086"/>
    <w:rsid w:val="005E7D42"/>
    <w:rsid w:val="005F0280"/>
    <w:rsid w:val="005F1020"/>
    <w:rsid w:val="005F433D"/>
    <w:rsid w:val="005F6F22"/>
    <w:rsid w:val="006005AD"/>
    <w:rsid w:val="00600ECB"/>
    <w:rsid w:val="00601617"/>
    <w:rsid w:val="00603365"/>
    <w:rsid w:val="006033E7"/>
    <w:rsid w:val="00603BE7"/>
    <w:rsid w:val="00604E9F"/>
    <w:rsid w:val="00605CEA"/>
    <w:rsid w:val="00605D91"/>
    <w:rsid w:val="006060D1"/>
    <w:rsid w:val="0060619E"/>
    <w:rsid w:val="00606DEE"/>
    <w:rsid w:val="00607D56"/>
    <w:rsid w:val="0061683A"/>
    <w:rsid w:val="006172E3"/>
    <w:rsid w:val="00620783"/>
    <w:rsid w:val="00620B5F"/>
    <w:rsid w:val="00621AFC"/>
    <w:rsid w:val="00622599"/>
    <w:rsid w:val="00622EC9"/>
    <w:rsid w:val="006235C0"/>
    <w:rsid w:val="00626179"/>
    <w:rsid w:val="00626CFB"/>
    <w:rsid w:val="006272A5"/>
    <w:rsid w:val="00630A93"/>
    <w:rsid w:val="00632E77"/>
    <w:rsid w:val="006345E6"/>
    <w:rsid w:val="0063489C"/>
    <w:rsid w:val="00636B52"/>
    <w:rsid w:val="006379E3"/>
    <w:rsid w:val="00637AF4"/>
    <w:rsid w:val="006405AF"/>
    <w:rsid w:val="00642509"/>
    <w:rsid w:val="006430FF"/>
    <w:rsid w:val="00643A4B"/>
    <w:rsid w:val="0065199F"/>
    <w:rsid w:val="00651B0C"/>
    <w:rsid w:val="00653F04"/>
    <w:rsid w:val="00654DF3"/>
    <w:rsid w:val="006553A9"/>
    <w:rsid w:val="00661A62"/>
    <w:rsid w:val="00661EE8"/>
    <w:rsid w:val="006620AB"/>
    <w:rsid w:val="00665386"/>
    <w:rsid w:val="006658D6"/>
    <w:rsid w:val="00665BAC"/>
    <w:rsid w:val="00666167"/>
    <w:rsid w:val="00666767"/>
    <w:rsid w:val="0066719A"/>
    <w:rsid w:val="00667262"/>
    <w:rsid w:val="006718B9"/>
    <w:rsid w:val="00672573"/>
    <w:rsid w:val="0067329E"/>
    <w:rsid w:val="00673520"/>
    <w:rsid w:val="00676613"/>
    <w:rsid w:val="00676A4F"/>
    <w:rsid w:val="00677215"/>
    <w:rsid w:val="00677B56"/>
    <w:rsid w:val="006830EF"/>
    <w:rsid w:val="006841A8"/>
    <w:rsid w:val="00684617"/>
    <w:rsid w:val="00684F1E"/>
    <w:rsid w:val="006850AF"/>
    <w:rsid w:val="0068628B"/>
    <w:rsid w:val="00690F4C"/>
    <w:rsid w:val="006914E8"/>
    <w:rsid w:val="00692108"/>
    <w:rsid w:val="0069214F"/>
    <w:rsid w:val="00693BED"/>
    <w:rsid w:val="00694530"/>
    <w:rsid w:val="00695030"/>
    <w:rsid w:val="006966FD"/>
    <w:rsid w:val="006967AE"/>
    <w:rsid w:val="00696827"/>
    <w:rsid w:val="00696965"/>
    <w:rsid w:val="00697499"/>
    <w:rsid w:val="006A05C5"/>
    <w:rsid w:val="006A1891"/>
    <w:rsid w:val="006A279D"/>
    <w:rsid w:val="006A346C"/>
    <w:rsid w:val="006A35B3"/>
    <w:rsid w:val="006A57A1"/>
    <w:rsid w:val="006A6007"/>
    <w:rsid w:val="006A64A5"/>
    <w:rsid w:val="006A7204"/>
    <w:rsid w:val="006A75E4"/>
    <w:rsid w:val="006B0750"/>
    <w:rsid w:val="006B083E"/>
    <w:rsid w:val="006B192E"/>
    <w:rsid w:val="006B2AFF"/>
    <w:rsid w:val="006B2E02"/>
    <w:rsid w:val="006B4698"/>
    <w:rsid w:val="006B4CFC"/>
    <w:rsid w:val="006B5908"/>
    <w:rsid w:val="006B5AFC"/>
    <w:rsid w:val="006B64C9"/>
    <w:rsid w:val="006C1010"/>
    <w:rsid w:val="006C1684"/>
    <w:rsid w:val="006C235D"/>
    <w:rsid w:val="006C25B9"/>
    <w:rsid w:val="006C2F69"/>
    <w:rsid w:val="006C5513"/>
    <w:rsid w:val="006C624E"/>
    <w:rsid w:val="006C66A3"/>
    <w:rsid w:val="006C684C"/>
    <w:rsid w:val="006C7F83"/>
    <w:rsid w:val="006D25C7"/>
    <w:rsid w:val="006D5742"/>
    <w:rsid w:val="006D5B06"/>
    <w:rsid w:val="006E138F"/>
    <w:rsid w:val="006E13FA"/>
    <w:rsid w:val="006E14CC"/>
    <w:rsid w:val="006E3DB9"/>
    <w:rsid w:val="006E5C72"/>
    <w:rsid w:val="006E5C91"/>
    <w:rsid w:val="006E66DB"/>
    <w:rsid w:val="006E7869"/>
    <w:rsid w:val="006F0120"/>
    <w:rsid w:val="006F10A2"/>
    <w:rsid w:val="006F1458"/>
    <w:rsid w:val="006F1C85"/>
    <w:rsid w:val="006F1F07"/>
    <w:rsid w:val="006F22E5"/>
    <w:rsid w:val="006F457F"/>
    <w:rsid w:val="006F5018"/>
    <w:rsid w:val="006F5CF3"/>
    <w:rsid w:val="006F668C"/>
    <w:rsid w:val="006F735D"/>
    <w:rsid w:val="0070100E"/>
    <w:rsid w:val="00703068"/>
    <w:rsid w:val="00704C5D"/>
    <w:rsid w:val="00706683"/>
    <w:rsid w:val="00711118"/>
    <w:rsid w:val="007129D6"/>
    <w:rsid w:val="00713786"/>
    <w:rsid w:val="007174A2"/>
    <w:rsid w:val="00717664"/>
    <w:rsid w:val="00717D22"/>
    <w:rsid w:val="00720B4B"/>
    <w:rsid w:val="00721B64"/>
    <w:rsid w:val="007224A0"/>
    <w:rsid w:val="007230BA"/>
    <w:rsid w:val="007238D7"/>
    <w:rsid w:val="00725B46"/>
    <w:rsid w:val="00727B28"/>
    <w:rsid w:val="00731118"/>
    <w:rsid w:val="007314A1"/>
    <w:rsid w:val="007362EA"/>
    <w:rsid w:val="007369F6"/>
    <w:rsid w:val="007371E8"/>
    <w:rsid w:val="00737F8C"/>
    <w:rsid w:val="00741BE7"/>
    <w:rsid w:val="00741D58"/>
    <w:rsid w:val="00742DD3"/>
    <w:rsid w:val="00743569"/>
    <w:rsid w:val="007442E0"/>
    <w:rsid w:val="00744A58"/>
    <w:rsid w:val="00744EDD"/>
    <w:rsid w:val="007502C4"/>
    <w:rsid w:val="007502FA"/>
    <w:rsid w:val="00750723"/>
    <w:rsid w:val="00750E7E"/>
    <w:rsid w:val="007524AB"/>
    <w:rsid w:val="0075316E"/>
    <w:rsid w:val="0075466A"/>
    <w:rsid w:val="00755E6D"/>
    <w:rsid w:val="007562E5"/>
    <w:rsid w:val="007563A9"/>
    <w:rsid w:val="007563F1"/>
    <w:rsid w:val="00757087"/>
    <w:rsid w:val="00762C49"/>
    <w:rsid w:val="00763224"/>
    <w:rsid w:val="00766C81"/>
    <w:rsid w:val="00766FBF"/>
    <w:rsid w:val="00767026"/>
    <w:rsid w:val="00772371"/>
    <w:rsid w:val="00773B19"/>
    <w:rsid w:val="0077400A"/>
    <w:rsid w:val="00777A89"/>
    <w:rsid w:val="00780A60"/>
    <w:rsid w:val="00780C54"/>
    <w:rsid w:val="00781745"/>
    <w:rsid w:val="00782B12"/>
    <w:rsid w:val="00783AB0"/>
    <w:rsid w:val="007840F7"/>
    <w:rsid w:val="00787CAC"/>
    <w:rsid w:val="00787D76"/>
    <w:rsid w:val="007925E8"/>
    <w:rsid w:val="00792C1C"/>
    <w:rsid w:val="00793A34"/>
    <w:rsid w:val="00794F02"/>
    <w:rsid w:val="00795653"/>
    <w:rsid w:val="007A07DC"/>
    <w:rsid w:val="007A163E"/>
    <w:rsid w:val="007A1AF1"/>
    <w:rsid w:val="007A1DD6"/>
    <w:rsid w:val="007A2558"/>
    <w:rsid w:val="007A5AFF"/>
    <w:rsid w:val="007A5B9F"/>
    <w:rsid w:val="007A72E1"/>
    <w:rsid w:val="007B010B"/>
    <w:rsid w:val="007B2A9F"/>
    <w:rsid w:val="007B4570"/>
    <w:rsid w:val="007B75E5"/>
    <w:rsid w:val="007C055B"/>
    <w:rsid w:val="007C1433"/>
    <w:rsid w:val="007C2525"/>
    <w:rsid w:val="007C3FEE"/>
    <w:rsid w:val="007C49B8"/>
    <w:rsid w:val="007C5125"/>
    <w:rsid w:val="007C6A75"/>
    <w:rsid w:val="007C73EB"/>
    <w:rsid w:val="007D2676"/>
    <w:rsid w:val="007D2B25"/>
    <w:rsid w:val="007D4CEE"/>
    <w:rsid w:val="007D5D08"/>
    <w:rsid w:val="007D62F8"/>
    <w:rsid w:val="007D69BA"/>
    <w:rsid w:val="007D77AD"/>
    <w:rsid w:val="007D7E04"/>
    <w:rsid w:val="007E0AD0"/>
    <w:rsid w:val="007E1129"/>
    <w:rsid w:val="007E24F9"/>
    <w:rsid w:val="007E2C39"/>
    <w:rsid w:val="007E46BA"/>
    <w:rsid w:val="007E5FF7"/>
    <w:rsid w:val="007E792D"/>
    <w:rsid w:val="007F12AB"/>
    <w:rsid w:val="007F15DA"/>
    <w:rsid w:val="007F51C6"/>
    <w:rsid w:val="007F5AEE"/>
    <w:rsid w:val="007F75F0"/>
    <w:rsid w:val="007F78FD"/>
    <w:rsid w:val="00800668"/>
    <w:rsid w:val="00801E5F"/>
    <w:rsid w:val="00802DE7"/>
    <w:rsid w:val="00803A3C"/>
    <w:rsid w:val="00803BDE"/>
    <w:rsid w:val="00806D2F"/>
    <w:rsid w:val="00807DE5"/>
    <w:rsid w:val="008142C6"/>
    <w:rsid w:val="008162FD"/>
    <w:rsid w:val="00816DCD"/>
    <w:rsid w:val="0082084A"/>
    <w:rsid w:val="00820BC2"/>
    <w:rsid w:val="00820BD3"/>
    <w:rsid w:val="00820CA4"/>
    <w:rsid w:val="008216BF"/>
    <w:rsid w:val="00825070"/>
    <w:rsid w:val="0082659E"/>
    <w:rsid w:val="008272F5"/>
    <w:rsid w:val="00832F67"/>
    <w:rsid w:val="008367D7"/>
    <w:rsid w:val="00836CEA"/>
    <w:rsid w:val="0083757A"/>
    <w:rsid w:val="00841237"/>
    <w:rsid w:val="008415B8"/>
    <w:rsid w:val="00842211"/>
    <w:rsid w:val="00844E6D"/>
    <w:rsid w:val="00845430"/>
    <w:rsid w:val="008467E1"/>
    <w:rsid w:val="00851D50"/>
    <w:rsid w:val="008546CD"/>
    <w:rsid w:val="0085549A"/>
    <w:rsid w:val="008561B9"/>
    <w:rsid w:val="008606E9"/>
    <w:rsid w:val="00860DD2"/>
    <w:rsid w:val="00861373"/>
    <w:rsid w:val="008656A7"/>
    <w:rsid w:val="008661F8"/>
    <w:rsid w:val="00866ADB"/>
    <w:rsid w:val="00866E54"/>
    <w:rsid w:val="008678E1"/>
    <w:rsid w:val="008704AA"/>
    <w:rsid w:val="008706A1"/>
    <w:rsid w:val="00870C61"/>
    <w:rsid w:val="00873CD6"/>
    <w:rsid w:val="00875D1E"/>
    <w:rsid w:val="00876262"/>
    <w:rsid w:val="008767CA"/>
    <w:rsid w:val="008814A1"/>
    <w:rsid w:val="00882730"/>
    <w:rsid w:val="00886E5A"/>
    <w:rsid w:val="00886F82"/>
    <w:rsid w:val="008877F9"/>
    <w:rsid w:val="0089056D"/>
    <w:rsid w:val="00890F64"/>
    <w:rsid w:val="00891561"/>
    <w:rsid w:val="00892DB3"/>
    <w:rsid w:val="00892F64"/>
    <w:rsid w:val="00895039"/>
    <w:rsid w:val="0089526D"/>
    <w:rsid w:val="008956D4"/>
    <w:rsid w:val="00895843"/>
    <w:rsid w:val="00896990"/>
    <w:rsid w:val="00896F3B"/>
    <w:rsid w:val="00897558"/>
    <w:rsid w:val="00897E05"/>
    <w:rsid w:val="008A048C"/>
    <w:rsid w:val="008A0B49"/>
    <w:rsid w:val="008A2AB2"/>
    <w:rsid w:val="008A3BFA"/>
    <w:rsid w:val="008A45D9"/>
    <w:rsid w:val="008A4C4F"/>
    <w:rsid w:val="008A64D2"/>
    <w:rsid w:val="008A7DCB"/>
    <w:rsid w:val="008B0C17"/>
    <w:rsid w:val="008B0DA4"/>
    <w:rsid w:val="008B0E66"/>
    <w:rsid w:val="008B13EC"/>
    <w:rsid w:val="008B18A9"/>
    <w:rsid w:val="008B3350"/>
    <w:rsid w:val="008B5902"/>
    <w:rsid w:val="008B5B1D"/>
    <w:rsid w:val="008B5E75"/>
    <w:rsid w:val="008C3941"/>
    <w:rsid w:val="008C456E"/>
    <w:rsid w:val="008C5518"/>
    <w:rsid w:val="008C7045"/>
    <w:rsid w:val="008C7CBC"/>
    <w:rsid w:val="008C7D94"/>
    <w:rsid w:val="008D196F"/>
    <w:rsid w:val="008D1E50"/>
    <w:rsid w:val="008D20D3"/>
    <w:rsid w:val="008D3F40"/>
    <w:rsid w:val="008D53B4"/>
    <w:rsid w:val="008D7CD8"/>
    <w:rsid w:val="008E114F"/>
    <w:rsid w:val="008E2B6B"/>
    <w:rsid w:val="008E2F47"/>
    <w:rsid w:val="008E3101"/>
    <w:rsid w:val="008F1509"/>
    <w:rsid w:val="008F155C"/>
    <w:rsid w:val="008F3DA6"/>
    <w:rsid w:val="008F73DB"/>
    <w:rsid w:val="00900A5E"/>
    <w:rsid w:val="009016CC"/>
    <w:rsid w:val="00901E1C"/>
    <w:rsid w:val="009034EA"/>
    <w:rsid w:val="0090353C"/>
    <w:rsid w:val="00903D7D"/>
    <w:rsid w:val="0090445D"/>
    <w:rsid w:val="00904749"/>
    <w:rsid w:val="00905C1A"/>
    <w:rsid w:val="0091072C"/>
    <w:rsid w:val="009115C2"/>
    <w:rsid w:val="009116BE"/>
    <w:rsid w:val="00914956"/>
    <w:rsid w:val="00914A75"/>
    <w:rsid w:val="00914E56"/>
    <w:rsid w:val="00920610"/>
    <w:rsid w:val="00922BCC"/>
    <w:rsid w:val="00924309"/>
    <w:rsid w:val="00924DDD"/>
    <w:rsid w:val="0092565B"/>
    <w:rsid w:val="00925CF5"/>
    <w:rsid w:val="00927376"/>
    <w:rsid w:val="00930A2F"/>
    <w:rsid w:val="0093214C"/>
    <w:rsid w:val="00935A15"/>
    <w:rsid w:val="00936F2D"/>
    <w:rsid w:val="00937D5D"/>
    <w:rsid w:val="00940C61"/>
    <w:rsid w:val="00941639"/>
    <w:rsid w:val="00942434"/>
    <w:rsid w:val="00942B95"/>
    <w:rsid w:val="009446D7"/>
    <w:rsid w:val="00944DB9"/>
    <w:rsid w:val="009471A1"/>
    <w:rsid w:val="00947946"/>
    <w:rsid w:val="00952A64"/>
    <w:rsid w:val="00954A91"/>
    <w:rsid w:val="00955368"/>
    <w:rsid w:val="00962C82"/>
    <w:rsid w:val="0096453A"/>
    <w:rsid w:val="00967E22"/>
    <w:rsid w:val="00967F24"/>
    <w:rsid w:val="009706E2"/>
    <w:rsid w:val="00970A7D"/>
    <w:rsid w:val="0097100E"/>
    <w:rsid w:val="00972029"/>
    <w:rsid w:val="0097263D"/>
    <w:rsid w:val="00974A94"/>
    <w:rsid w:val="00975292"/>
    <w:rsid w:val="009853C6"/>
    <w:rsid w:val="00986025"/>
    <w:rsid w:val="00986399"/>
    <w:rsid w:val="00987A86"/>
    <w:rsid w:val="00987D8E"/>
    <w:rsid w:val="00990828"/>
    <w:rsid w:val="009962C2"/>
    <w:rsid w:val="009964E1"/>
    <w:rsid w:val="0099691D"/>
    <w:rsid w:val="009A0B02"/>
    <w:rsid w:val="009A0D55"/>
    <w:rsid w:val="009A140A"/>
    <w:rsid w:val="009A1FCA"/>
    <w:rsid w:val="009A22EE"/>
    <w:rsid w:val="009A520F"/>
    <w:rsid w:val="009A7141"/>
    <w:rsid w:val="009B05F1"/>
    <w:rsid w:val="009B0994"/>
    <w:rsid w:val="009B0B24"/>
    <w:rsid w:val="009B2AF4"/>
    <w:rsid w:val="009B2F5B"/>
    <w:rsid w:val="009B3469"/>
    <w:rsid w:val="009B5888"/>
    <w:rsid w:val="009C0415"/>
    <w:rsid w:val="009C0CDC"/>
    <w:rsid w:val="009C21A2"/>
    <w:rsid w:val="009D1D50"/>
    <w:rsid w:val="009D1DDD"/>
    <w:rsid w:val="009D36EF"/>
    <w:rsid w:val="009D49A4"/>
    <w:rsid w:val="009D54B0"/>
    <w:rsid w:val="009D62E8"/>
    <w:rsid w:val="009D68AA"/>
    <w:rsid w:val="009E16B2"/>
    <w:rsid w:val="009E283C"/>
    <w:rsid w:val="009E2D44"/>
    <w:rsid w:val="009E486F"/>
    <w:rsid w:val="009E48AA"/>
    <w:rsid w:val="009E67B8"/>
    <w:rsid w:val="009E6DC9"/>
    <w:rsid w:val="009F1B07"/>
    <w:rsid w:val="009F23EF"/>
    <w:rsid w:val="009F25D4"/>
    <w:rsid w:val="009F599E"/>
    <w:rsid w:val="00A00D14"/>
    <w:rsid w:val="00A033C6"/>
    <w:rsid w:val="00A039E2"/>
    <w:rsid w:val="00A0447E"/>
    <w:rsid w:val="00A05DFC"/>
    <w:rsid w:val="00A07D58"/>
    <w:rsid w:val="00A131A1"/>
    <w:rsid w:val="00A15763"/>
    <w:rsid w:val="00A15A9B"/>
    <w:rsid w:val="00A16333"/>
    <w:rsid w:val="00A175CF"/>
    <w:rsid w:val="00A20192"/>
    <w:rsid w:val="00A208D8"/>
    <w:rsid w:val="00A21879"/>
    <w:rsid w:val="00A246D8"/>
    <w:rsid w:val="00A301BB"/>
    <w:rsid w:val="00A32616"/>
    <w:rsid w:val="00A33116"/>
    <w:rsid w:val="00A33B83"/>
    <w:rsid w:val="00A34AD0"/>
    <w:rsid w:val="00A35965"/>
    <w:rsid w:val="00A36194"/>
    <w:rsid w:val="00A37810"/>
    <w:rsid w:val="00A40814"/>
    <w:rsid w:val="00A40ECB"/>
    <w:rsid w:val="00A4285D"/>
    <w:rsid w:val="00A44F0D"/>
    <w:rsid w:val="00A45919"/>
    <w:rsid w:val="00A45DBD"/>
    <w:rsid w:val="00A5107E"/>
    <w:rsid w:val="00A527DA"/>
    <w:rsid w:val="00A52E67"/>
    <w:rsid w:val="00A55F9E"/>
    <w:rsid w:val="00A57E53"/>
    <w:rsid w:val="00A57F91"/>
    <w:rsid w:val="00A60B72"/>
    <w:rsid w:val="00A63CC6"/>
    <w:rsid w:val="00A6445E"/>
    <w:rsid w:val="00A64EF8"/>
    <w:rsid w:val="00A65061"/>
    <w:rsid w:val="00A67349"/>
    <w:rsid w:val="00A67388"/>
    <w:rsid w:val="00A67FE0"/>
    <w:rsid w:val="00A70AAC"/>
    <w:rsid w:val="00A71E5C"/>
    <w:rsid w:val="00A72C89"/>
    <w:rsid w:val="00A80250"/>
    <w:rsid w:val="00A83AD3"/>
    <w:rsid w:val="00A841EC"/>
    <w:rsid w:val="00A8537C"/>
    <w:rsid w:val="00A925C3"/>
    <w:rsid w:val="00A93771"/>
    <w:rsid w:val="00A93A3D"/>
    <w:rsid w:val="00A93AF5"/>
    <w:rsid w:val="00A9469C"/>
    <w:rsid w:val="00A949AB"/>
    <w:rsid w:val="00A9544E"/>
    <w:rsid w:val="00A95B52"/>
    <w:rsid w:val="00A96D01"/>
    <w:rsid w:val="00AA00FF"/>
    <w:rsid w:val="00AA2534"/>
    <w:rsid w:val="00AA32F4"/>
    <w:rsid w:val="00AA3BF7"/>
    <w:rsid w:val="00AA5CC8"/>
    <w:rsid w:val="00AA6022"/>
    <w:rsid w:val="00AA6BDC"/>
    <w:rsid w:val="00AA7E2F"/>
    <w:rsid w:val="00AB2B91"/>
    <w:rsid w:val="00AB320E"/>
    <w:rsid w:val="00AB3BC9"/>
    <w:rsid w:val="00AB3DA9"/>
    <w:rsid w:val="00AC2747"/>
    <w:rsid w:val="00AC3783"/>
    <w:rsid w:val="00AD1F17"/>
    <w:rsid w:val="00AD300A"/>
    <w:rsid w:val="00AD5A0F"/>
    <w:rsid w:val="00AD73C8"/>
    <w:rsid w:val="00AE2194"/>
    <w:rsid w:val="00AE320D"/>
    <w:rsid w:val="00AE3C2F"/>
    <w:rsid w:val="00AF051C"/>
    <w:rsid w:val="00AF5004"/>
    <w:rsid w:val="00AF6599"/>
    <w:rsid w:val="00AF7581"/>
    <w:rsid w:val="00B0098D"/>
    <w:rsid w:val="00B01CF5"/>
    <w:rsid w:val="00B01DE6"/>
    <w:rsid w:val="00B0334B"/>
    <w:rsid w:val="00B058C9"/>
    <w:rsid w:val="00B06140"/>
    <w:rsid w:val="00B06431"/>
    <w:rsid w:val="00B06744"/>
    <w:rsid w:val="00B07E3B"/>
    <w:rsid w:val="00B101C1"/>
    <w:rsid w:val="00B11426"/>
    <w:rsid w:val="00B130A4"/>
    <w:rsid w:val="00B14B00"/>
    <w:rsid w:val="00B1557E"/>
    <w:rsid w:val="00B15752"/>
    <w:rsid w:val="00B17494"/>
    <w:rsid w:val="00B17EFE"/>
    <w:rsid w:val="00B228F7"/>
    <w:rsid w:val="00B24376"/>
    <w:rsid w:val="00B26AF6"/>
    <w:rsid w:val="00B26D16"/>
    <w:rsid w:val="00B310A5"/>
    <w:rsid w:val="00B31338"/>
    <w:rsid w:val="00B31F34"/>
    <w:rsid w:val="00B37383"/>
    <w:rsid w:val="00B37817"/>
    <w:rsid w:val="00B40148"/>
    <w:rsid w:val="00B44D20"/>
    <w:rsid w:val="00B474F6"/>
    <w:rsid w:val="00B501DF"/>
    <w:rsid w:val="00B52A49"/>
    <w:rsid w:val="00B54DBC"/>
    <w:rsid w:val="00B54EF0"/>
    <w:rsid w:val="00B55E26"/>
    <w:rsid w:val="00B56604"/>
    <w:rsid w:val="00B57772"/>
    <w:rsid w:val="00B65B5A"/>
    <w:rsid w:val="00B670CD"/>
    <w:rsid w:val="00B70CA2"/>
    <w:rsid w:val="00B713E0"/>
    <w:rsid w:val="00B71947"/>
    <w:rsid w:val="00B73C93"/>
    <w:rsid w:val="00B77C72"/>
    <w:rsid w:val="00B81CFF"/>
    <w:rsid w:val="00B82352"/>
    <w:rsid w:val="00B837C2"/>
    <w:rsid w:val="00B839A7"/>
    <w:rsid w:val="00B8476E"/>
    <w:rsid w:val="00B86110"/>
    <w:rsid w:val="00B87A20"/>
    <w:rsid w:val="00B9094A"/>
    <w:rsid w:val="00B93C18"/>
    <w:rsid w:val="00B9601B"/>
    <w:rsid w:val="00B96879"/>
    <w:rsid w:val="00BA01BD"/>
    <w:rsid w:val="00BA0E9A"/>
    <w:rsid w:val="00BA103D"/>
    <w:rsid w:val="00BA29ED"/>
    <w:rsid w:val="00BA2CE9"/>
    <w:rsid w:val="00BA37B5"/>
    <w:rsid w:val="00BA4C18"/>
    <w:rsid w:val="00BB0FA0"/>
    <w:rsid w:val="00BB2BB7"/>
    <w:rsid w:val="00BB4113"/>
    <w:rsid w:val="00BB4BDF"/>
    <w:rsid w:val="00BB5644"/>
    <w:rsid w:val="00BB694A"/>
    <w:rsid w:val="00BB6DC8"/>
    <w:rsid w:val="00BC019B"/>
    <w:rsid w:val="00BC1CC1"/>
    <w:rsid w:val="00BC2986"/>
    <w:rsid w:val="00BC2AEE"/>
    <w:rsid w:val="00BC35E1"/>
    <w:rsid w:val="00BC3E51"/>
    <w:rsid w:val="00BC3FC7"/>
    <w:rsid w:val="00BC49DA"/>
    <w:rsid w:val="00BC5693"/>
    <w:rsid w:val="00BC5CFD"/>
    <w:rsid w:val="00BC63A9"/>
    <w:rsid w:val="00BD242C"/>
    <w:rsid w:val="00BD2431"/>
    <w:rsid w:val="00BD4B5B"/>
    <w:rsid w:val="00BD5EF7"/>
    <w:rsid w:val="00BD6C43"/>
    <w:rsid w:val="00BD7502"/>
    <w:rsid w:val="00BE0AE3"/>
    <w:rsid w:val="00BE0E80"/>
    <w:rsid w:val="00BE1AC1"/>
    <w:rsid w:val="00BE1C6D"/>
    <w:rsid w:val="00BE2EF8"/>
    <w:rsid w:val="00BE4D2E"/>
    <w:rsid w:val="00BE4DFC"/>
    <w:rsid w:val="00BE5512"/>
    <w:rsid w:val="00BE57F2"/>
    <w:rsid w:val="00BF0166"/>
    <w:rsid w:val="00BF197D"/>
    <w:rsid w:val="00BF2974"/>
    <w:rsid w:val="00BF3592"/>
    <w:rsid w:val="00C007B7"/>
    <w:rsid w:val="00C019A9"/>
    <w:rsid w:val="00C01EAA"/>
    <w:rsid w:val="00C02270"/>
    <w:rsid w:val="00C06C27"/>
    <w:rsid w:val="00C127A2"/>
    <w:rsid w:val="00C15B1F"/>
    <w:rsid w:val="00C16106"/>
    <w:rsid w:val="00C203E5"/>
    <w:rsid w:val="00C2069E"/>
    <w:rsid w:val="00C208B5"/>
    <w:rsid w:val="00C22957"/>
    <w:rsid w:val="00C23A9F"/>
    <w:rsid w:val="00C23C4F"/>
    <w:rsid w:val="00C24CBE"/>
    <w:rsid w:val="00C24F0D"/>
    <w:rsid w:val="00C321B7"/>
    <w:rsid w:val="00C3578D"/>
    <w:rsid w:val="00C37D88"/>
    <w:rsid w:val="00C41E12"/>
    <w:rsid w:val="00C4235D"/>
    <w:rsid w:val="00C424AD"/>
    <w:rsid w:val="00C454A4"/>
    <w:rsid w:val="00C459AC"/>
    <w:rsid w:val="00C45E85"/>
    <w:rsid w:val="00C4647D"/>
    <w:rsid w:val="00C46CE2"/>
    <w:rsid w:val="00C54F15"/>
    <w:rsid w:val="00C60C0D"/>
    <w:rsid w:val="00C623FF"/>
    <w:rsid w:val="00C63F88"/>
    <w:rsid w:val="00C643ED"/>
    <w:rsid w:val="00C6501B"/>
    <w:rsid w:val="00C67C2C"/>
    <w:rsid w:val="00C71EB4"/>
    <w:rsid w:val="00C72EA2"/>
    <w:rsid w:val="00C73AF2"/>
    <w:rsid w:val="00C75673"/>
    <w:rsid w:val="00C759E2"/>
    <w:rsid w:val="00C75AB2"/>
    <w:rsid w:val="00C7655C"/>
    <w:rsid w:val="00C809DD"/>
    <w:rsid w:val="00C81913"/>
    <w:rsid w:val="00C82A55"/>
    <w:rsid w:val="00C8376C"/>
    <w:rsid w:val="00C837EA"/>
    <w:rsid w:val="00C85726"/>
    <w:rsid w:val="00C86431"/>
    <w:rsid w:val="00C868A3"/>
    <w:rsid w:val="00C927FA"/>
    <w:rsid w:val="00C94776"/>
    <w:rsid w:val="00C94954"/>
    <w:rsid w:val="00C969DA"/>
    <w:rsid w:val="00CA0B6B"/>
    <w:rsid w:val="00CA215F"/>
    <w:rsid w:val="00CB0C52"/>
    <w:rsid w:val="00CB16D4"/>
    <w:rsid w:val="00CB1A4A"/>
    <w:rsid w:val="00CB1A7C"/>
    <w:rsid w:val="00CB47A1"/>
    <w:rsid w:val="00CB56E0"/>
    <w:rsid w:val="00CB73F9"/>
    <w:rsid w:val="00CB74FC"/>
    <w:rsid w:val="00CB7553"/>
    <w:rsid w:val="00CC0D9B"/>
    <w:rsid w:val="00CC1BFD"/>
    <w:rsid w:val="00CC1F4E"/>
    <w:rsid w:val="00CC31B0"/>
    <w:rsid w:val="00CC57EE"/>
    <w:rsid w:val="00CC69F1"/>
    <w:rsid w:val="00CC7A49"/>
    <w:rsid w:val="00CD162D"/>
    <w:rsid w:val="00CD5B3D"/>
    <w:rsid w:val="00CD765E"/>
    <w:rsid w:val="00CE27C9"/>
    <w:rsid w:val="00CE28F4"/>
    <w:rsid w:val="00CE4611"/>
    <w:rsid w:val="00CE6186"/>
    <w:rsid w:val="00CE6262"/>
    <w:rsid w:val="00CE73A2"/>
    <w:rsid w:val="00CE7B2A"/>
    <w:rsid w:val="00CE7F62"/>
    <w:rsid w:val="00CF24EF"/>
    <w:rsid w:val="00CF316E"/>
    <w:rsid w:val="00CF600E"/>
    <w:rsid w:val="00CF637D"/>
    <w:rsid w:val="00CF6889"/>
    <w:rsid w:val="00D00232"/>
    <w:rsid w:val="00D1032F"/>
    <w:rsid w:val="00D10EF3"/>
    <w:rsid w:val="00D111C5"/>
    <w:rsid w:val="00D11597"/>
    <w:rsid w:val="00D1205F"/>
    <w:rsid w:val="00D1679A"/>
    <w:rsid w:val="00D1761B"/>
    <w:rsid w:val="00D17920"/>
    <w:rsid w:val="00D20002"/>
    <w:rsid w:val="00D22747"/>
    <w:rsid w:val="00D25263"/>
    <w:rsid w:val="00D27342"/>
    <w:rsid w:val="00D27E61"/>
    <w:rsid w:val="00D30536"/>
    <w:rsid w:val="00D3159C"/>
    <w:rsid w:val="00D32389"/>
    <w:rsid w:val="00D32ACE"/>
    <w:rsid w:val="00D3478A"/>
    <w:rsid w:val="00D35318"/>
    <w:rsid w:val="00D35BED"/>
    <w:rsid w:val="00D41463"/>
    <w:rsid w:val="00D43384"/>
    <w:rsid w:val="00D43A26"/>
    <w:rsid w:val="00D44DB0"/>
    <w:rsid w:val="00D46B02"/>
    <w:rsid w:val="00D503A2"/>
    <w:rsid w:val="00D5159C"/>
    <w:rsid w:val="00D557D7"/>
    <w:rsid w:val="00D5720C"/>
    <w:rsid w:val="00D57762"/>
    <w:rsid w:val="00D6384A"/>
    <w:rsid w:val="00D66B57"/>
    <w:rsid w:val="00D674D2"/>
    <w:rsid w:val="00D71017"/>
    <w:rsid w:val="00D7113A"/>
    <w:rsid w:val="00D727F5"/>
    <w:rsid w:val="00D73067"/>
    <w:rsid w:val="00D73A90"/>
    <w:rsid w:val="00D74BEF"/>
    <w:rsid w:val="00D74E44"/>
    <w:rsid w:val="00D75037"/>
    <w:rsid w:val="00D77A20"/>
    <w:rsid w:val="00D8071D"/>
    <w:rsid w:val="00D80BD4"/>
    <w:rsid w:val="00D83A53"/>
    <w:rsid w:val="00D84FB9"/>
    <w:rsid w:val="00D86054"/>
    <w:rsid w:val="00D93C62"/>
    <w:rsid w:val="00D95B29"/>
    <w:rsid w:val="00DA0A76"/>
    <w:rsid w:val="00DA23F2"/>
    <w:rsid w:val="00DA282D"/>
    <w:rsid w:val="00DA7F12"/>
    <w:rsid w:val="00DB0378"/>
    <w:rsid w:val="00DB0BEA"/>
    <w:rsid w:val="00DB2A14"/>
    <w:rsid w:val="00DB2FDD"/>
    <w:rsid w:val="00DB34E6"/>
    <w:rsid w:val="00DB7767"/>
    <w:rsid w:val="00DC1B3F"/>
    <w:rsid w:val="00DC2361"/>
    <w:rsid w:val="00DC30A8"/>
    <w:rsid w:val="00DC43FC"/>
    <w:rsid w:val="00DD0044"/>
    <w:rsid w:val="00DD0EF9"/>
    <w:rsid w:val="00DD12FD"/>
    <w:rsid w:val="00DD2AD6"/>
    <w:rsid w:val="00DD3699"/>
    <w:rsid w:val="00DD52E3"/>
    <w:rsid w:val="00DD5C3C"/>
    <w:rsid w:val="00DE0726"/>
    <w:rsid w:val="00DE147D"/>
    <w:rsid w:val="00DE1C29"/>
    <w:rsid w:val="00DE2200"/>
    <w:rsid w:val="00DE5C6C"/>
    <w:rsid w:val="00DE7B55"/>
    <w:rsid w:val="00DF0B16"/>
    <w:rsid w:val="00DF1674"/>
    <w:rsid w:val="00DF2483"/>
    <w:rsid w:val="00DF2A53"/>
    <w:rsid w:val="00DF41D4"/>
    <w:rsid w:val="00DF4826"/>
    <w:rsid w:val="00DF55B0"/>
    <w:rsid w:val="00DF562A"/>
    <w:rsid w:val="00DF574B"/>
    <w:rsid w:val="00DF603C"/>
    <w:rsid w:val="00DF6661"/>
    <w:rsid w:val="00DF71DE"/>
    <w:rsid w:val="00DF76DB"/>
    <w:rsid w:val="00DF78DD"/>
    <w:rsid w:val="00E0113A"/>
    <w:rsid w:val="00E025DD"/>
    <w:rsid w:val="00E03027"/>
    <w:rsid w:val="00E03AF0"/>
    <w:rsid w:val="00E03D20"/>
    <w:rsid w:val="00E07194"/>
    <w:rsid w:val="00E14154"/>
    <w:rsid w:val="00E16EE8"/>
    <w:rsid w:val="00E1703E"/>
    <w:rsid w:val="00E201C9"/>
    <w:rsid w:val="00E216D0"/>
    <w:rsid w:val="00E2274E"/>
    <w:rsid w:val="00E2377C"/>
    <w:rsid w:val="00E247EE"/>
    <w:rsid w:val="00E2533B"/>
    <w:rsid w:val="00E27122"/>
    <w:rsid w:val="00E27562"/>
    <w:rsid w:val="00E276F7"/>
    <w:rsid w:val="00E345F0"/>
    <w:rsid w:val="00E348DB"/>
    <w:rsid w:val="00E36035"/>
    <w:rsid w:val="00E3657F"/>
    <w:rsid w:val="00E37B8C"/>
    <w:rsid w:val="00E40343"/>
    <w:rsid w:val="00E40445"/>
    <w:rsid w:val="00E41C0A"/>
    <w:rsid w:val="00E424E1"/>
    <w:rsid w:val="00E42BEA"/>
    <w:rsid w:val="00E42C82"/>
    <w:rsid w:val="00E42E0A"/>
    <w:rsid w:val="00E44D17"/>
    <w:rsid w:val="00E450ED"/>
    <w:rsid w:val="00E45B3C"/>
    <w:rsid w:val="00E500C5"/>
    <w:rsid w:val="00E51A3C"/>
    <w:rsid w:val="00E52523"/>
    <w:rsid w:val="00E534A2"/>
    <w:rsid w:val="00E55F81"/>
    <w:rsid w:val="00E6016F"/>
    <w:rsid w:val="00E61115"/>
    <w:rsid w:val="00E624E3"/>
    <w:rsid w:val="00E62E0E"/>
    <w:rsid w:val="00E632A6"/>
    <w:rsid w:val="00E63469"/>
    <w:rsid w:val="00E635C9"/>
    <w:rsid w:val="00E63819"/>
    <w:rsid w:val="00E63944"/>
    <w:rsid w:val="00E674ED"/>
    <w:rsid w:val="00E74574"/>
    <w:rsid w:val="00E756AF"/>
    <w:rsid w:val="00E76213"/>
    <w:rsid w:val="00E77D75"/>
    <w:rsid w:val="00E80273"/>
    <w:rsid w:val="00E80505"/>
    <w:rsid w:val="00E81B1F"/>
    <w:rsid w:val="00E8238F"/>
    <w:rsid w:val="00E82867"/>
    <w:rsid w:val="00E82F79"/>
    <w:rsid w:val="00E84A46"/>
    <w:rsid w:val="00E857FD"/>
    <w:rsid w:val="00E85DF3"/>
    <w:rsid w:val="00E86B52"/>
    <w:rsid w:val="00E87609"/>
    <w:rsid w:val="00E90321"/>
    <w:rsid w:val="00E9059C"/>
    <w:rsid w:val="00E90702"/>
    <w:rsid w:val="00E90A91"/>
    <w:rsid w:val="00E92A6D"/>
    <w:rsid w:val="00E92C4B"/>
    <w:rsid w:val="00E95132"/>
    <w:rsid w:val="00E95A95"/>
    <w:rsid w:val="00E96A84"/>
    <w:rsid w:val="00E96FF3"/>
    <w:rsid w:val="00E97F06"/>
    <w:rsid w:val="00EA03AF"/>
    <w:rsid w:val="00EA03F5"/>
    <w:rsid w:val="00EA0C61"/>
    <w:rsid w:val="00EA2708"/>
    <w:rsid w:val="00EA31D1"/>
    <w:rsid w:val="00EA343A"/>
    <w:rsid w:val="00EA3CA3"/>
    <w:rsid w:val="00EA4437"/>
    <w:rsid w:val="00EA4B45"/>
    <w:rsid w:val="00EA51BC"/>
    <w:rsid w:val="00EA56C3"/>
    <w:rsid w:val="00EA7C7F"/>
    <w:rsid w:val="00EB1379"/>
    <w:rsid w:val="00EB155C"/>
    <w:rsid w:val="00EB2A35"/>
    <w:rsid w:val="00EB36D6"/>
    <w:rsid w:val="00EB6BBE"/>
    <w:rsid w:val="00EC05DC"/>
    <w:rsid w:val="00EC1173"/>
    <w:rsid w:val="00EC4E45"/>
    <w:rsid w:val="00EC4FD4"/>
    <w:rsid w:val="00EC51E9"/>
    <w:rsid w:val="00EC53D3"/>
    <w:rsid w:val="00ED1661"/>
    <w:rsid w:val="00ED3286"/>
    <w:rsid w:val="00ED3358"/>
    <w:rsid w:val="00ED3BC6"/>
    <w:rsid w:val="00ED3F8A"/>
    <w:rsid w:val="00ED5B96"/>
    <w:rsid w:val="00ED7545"/>
    <w:rsid w:val="00EE1EFE"/>
    <w:rsid w:val="00EE3162"/>
    <w:rsid w:val="00EE723E"/>
    <w:rsid w:val="00EE77BC"/>
    <w:rsid w:val="00EF02BA"/>
    <w:rsid w:val="00EF05F1"/>
    <w:rsid w:val="00EF1EFA"/>
    <w:rsid w:val="00EF23B1"/>
    <w:rsid w:val="00EF3087"/>
    <w:rsid w:val="00EF42BF"/>
    <w:rsid w:val="00EF6137"/>
    <w:rsid w:val="00EF6873"/>
    <w:rsid w:val="00EF7EBF"/>
    <w:rsid w:val="00F0152F"/>
    <w:rsid w:val="00F02CE0"/>
    <w:rsid w:val="00F02F4C"/>
    <w:rsid w:val="00F059DB"/>
    <w:rsid w:val="00F05AFC"/>
    <w:rsid w:val="00F06061"/>
    <w:rsid w:val="00F07BAC"/>
    <w:rsid w:val="00F13460"/>
    <w:rsid w:val="00F148AC"/>
    <w:rsid w:val="00F14CD6"/>
    <w:rsid w:val="00F15149"/>
    <w:rsid w:val="00F153A9"/>
    <w:rsid w:val="00F15BD7"/>
    <w:rsid w:val="00F16103"/>
    <w:rsid w:val="00F17FD8"/>
    <w:rsid w:val="00F20272"/>
    <w:rsid w:val="00F20990"/>
    <w:rsid w:val="00F210C3"/>
    <w:rsid w:val="00F22421"/>
    <w:rsid w:val="00F24447"/>
    <w:rsid w:val="00F24F2F"/>
    <w:rsid w:val="00F26DEF"/>
    <w:rsid w:val="00F27A82"/>
    <w:rsid w:val="00F27A99"/>
    <w:rsid w:val="00F312FC"/>
    <w:rsid w:val="00F316D5"/>
    <w:rsid w:val="00F3649A"/>
    <w:rsid w:val="00F374A4"/>
    <w:rsid w:val="00F44E3C"/>
    <w:rsid w:val="00F45100"/>
    <w:rsid w:val="00F45CB9"/>
    <w:rsid w:val="00F46A81"/>
    <w:rsid w:val="00F502D4"/>
    <w:rsid w:val="00F5037D"/>
    <w:rsid w:val="00F52107"/>
    <w:rsid w:val="00F53287"/>
    <w:rsid w:val="00F54389"/>
    <w:rsid w:val="00F5504F"/>
    <w:rsid w:val="00F56767"/>
    <w:rsid w:val="00F57A38"/>
    <w:rsid w:val="00F619A6"/>
    <w:rsid w:val="00F61AA0"/>
    <w:rsid w:val="00F64E64"/>
    <w:rsid w:val="00F65FC6"/>
    <w:rsid w:val="00F67F80"/>
    <w:rsid w:val="00F70393"/>
    <w:rsid w:val="00F7265F"/>
    <w:rsid w:val="00F72DB3"/>
    <w:rsid w:val="00F75CEC"/>
    <w:rsid w:val="00F8147A"/>
    <w:rsid w:val="00F823D9"/>
    <w:rsid w:val="00F83C8C"/>
    <w:rsid w:val="00F83D5A"/>
    <w:rsid w:val="00F84443"/>
    <w:rsid w:val="00F85D2A"/>
    <w:rsid w:val="00F86391"/>
    <w:rsid w:val="00F948C3"/>
    <w:rsid w:val="00FA2B11"/>
    <w:rsid w:val="00FA2D14"/>
    <w:rsid w:val="00FA39BC"/>
    <w:rsid w:val="00FA4D35"/>
    <w:rsid w:val="00FA6D43"/>
    <w:rsid w:val="00FA6EE8"/>
    <w:rsid w:val="00FA794E"/>
    <w:rsid w:val="00FB16B9"/>
    <w:rsid w:val="00FB2BE0"/>
    <w:rsid w:val="00FB380A"/>
    <w:rsid w:val="00FB3D2F"/>
    <w:rsid w:val="00FB3F13"/>
    <w:rsid w:val="00FB69F8"/>
    <w:rsid w:val="00FB6E92"/>
    <w:rsid w:val="00FC0A30"/>
    <w:rsid w:val="00FC1F12"/>
    <w:rsid w:val="00FC1F5E"/>
    <w:rsid w:val="00FC3160"/>
    <w:rsid w:val="00FC3495"/>
    <w:rsid w:val="00FC369E"/>
    <w:rsid w:val="00FC382F"/>
    <w:rsid w:val="00FC457D"/>
    <w:rsid w:val="00FC4A56"/>
    <w:rsid w:val="00FC5523"/>
    <w:rsid w:val="00FC59D4"/>
    <w:rsid w:val="00FC71B5"/>
    <w:rsid w:val="00FD168D"/>
    <w:rsid w:val="00FD4956"/>
    <w:rsid w:val="00FD5C76"/>
    <w:rsid w:val="00FD660B"/>
    <w:rsid w:val="00FD706E"/>
    <w:rsid w:val="00FE09FF"/>
    <w:rsid w:val="00FE0EEA"/>
    <w:rsid w:val="00FE3163"/>
    <w:rsid w:val="00FE3A48"/>
    <w:rsid w:val="00FE3AE5"/>
    <w:rsid w:val="00FE4DA2"/>
    <w:rsid w:val="00FE4E86"/>
    <w:rsid w:val="00FE5FB1"/>
    <w:rsid w:val="00FE7C6E"/>
    <w:rsid w:val="00FF042B"/>
    <w:rsid w:val="00FF0716"/>
    <w:rsid w:val="00FF0C98"/>
    <w:rsid w:val="00FF1294"/>
    <w:rsid w:val="00FF258F"/>
    <w:rsid w:val="00FF2FD0"/>
    <w:rsid w:val="00FF43E7"/>
    <w:rsid w:val="00FF5034"/>
    <w:rsid w:val="00FF62AE"/>
    <w:rsid w:val="00FF672D"/>
    <w:rsid w:val="00FF7150"/>
    <w:rsid w:val="00FF7B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DCA19"/>
  <w15:docId w15:val="{64C3AD3B-CBDF-4359-A13F-684CDDB3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3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2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 w:uiPriority="64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4FB9"/>
    <w:pPr>
      <w:spacing w:before="200" w:after="200" w:line="264" w:lineRule="auto"/>
    </w:pPr>
    <w:rPr>
      <w:rFonts w:ascii="DM Sans" w:hAnsi="DM Sans"/>
      <w:sz w:val="24"/>
      <w:szCs w:val="28"/>
      <w:lang w:eastAsia="en-US"/>
    </w:rPr>
  </w:style>
  <w:style w:type="paragraph" w:styleId="Heading1">
    <w:name w:val="heading 1"/>
    <w:next w:val="Normal"/>
    <w:link w:val="Heading1Char"/>
    <w:qFormat/>
    <w:rsid w:val="008606E9"/>
    <w:pPr>
      <w:keepNext/>
      <w:keepLines/>
      <w:tabs>
        <w:tab w:val="left" w:pos="851"/>
      </w:tabs>
      <w:spacing w:before="360" w:after="280"/>
      <w:outlineLvl w:val="0"/>
    </w:pPr>
    <w:rPr>
      <w:rFonts w:ascii="Platypi" w:eastAsia="Times New Roman" w:hAnsi="Platypi"/>
      <w:b/>
      <w:color w:val="035B77" w:themeColor="text2"/>
      <w:sz w:val="48"/>
      <w:szCs w:val="48"/>
      <w:lang w:eastAsia="en-US"/>
    </w:rPr>
  </w:style>
  <w:style w:type="paragraph" w:styleId="Heading2">
    <w:name w:val="heading 2"/>
    <w:next w:val="Normal"/>
    <w:link w:val="Heading2Char"/>
    <w:qFormat/>
    <w:rsid w:val="0053579E"/>
    <w:pPr>
      <w:keepNext/>
      <w:keepLines/>
      <w:spacing w:before="280" w:after="200"/>
      <w:ind w:left="576" w:hanging="576"/>
      <w:outlineLvl w:val="1"/>
    </w:pPr>
    <w:rPr>
      <w:rFonts w:ascii="DM Sans" w:eastAsiaTheme="majorEastAsia" w:hAnsi="DM Sans" w:cstheme="majorBidi"/>
      <w:b/>
      <w:bCs/>
      <w:color w:val="82C5FF" w:themeColor="background1"/>
      <w:sz w:val="36"/>
      <w:szCs w:val="32"/>
      <w:lang w:eastAsia="en-US"/>
    </w:rPr>
  </w:style>
  <w:style w:type="paragraph" w:styleId="Heading3">
    <w:name w:val="heading 3"/>
    <w:next w:val="Normal"/>
    <w:link w:val="Heading3Char"/>
    <w:qFormat/>
    <w:rsid w:val="00E201C9"/>
    <w:pPr>
      <w:keepNext/>
      <w:keepLines/>
      <w:numPr>
        <w:ilvl w:val="2"/>
        <w:numId w:val="2"/>
      </w:numPr>
      <w:spacing w:before="240" w:after="120" w:line="25" w:lineRule="atLeast"/>
      <w:ind w:left="1701" w:hanging="850"/>
      <w:outlineLvl w:val="2"/>
    </w:pPr>
    <w:rPr>
      <w:rFonts w:ascii="Century Gothic" w:eastAsiaTheme="majorEastAsia" w:hAnsi="Century Gothic" w:cstheme="majorBidi"/>
      <w:b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B310A5"/>
    <w:pPr>
      <w:keepNext/>
      <w:keepLines/>
      <w:numPr>
        <w:ilvl w:val="3"/>
        <w:numId w:val="2"/>
      </w:numPr>
      <w:spacing w:before="180" w:after="120"/>
      <w:ind w:left="862" w:firstLine="839"/>
      <w:outlineLvl w:val="3"/>
    </w:pPr>
    <w:rPr>
      <w:rFonts w:eastAsiaTheme="majorEastAsia" w:cstheme="majorBidi"/>
      <w:iCs/>
      <w:szCs w:val="20"/>
    </w:rPr>
  </w:style>
  <w:style w:type="paragraph" w:styleId="Heading5">
    <w:name w:val="heading 5"/>
    <w:basedOn w:val="Normal"/>
    <w:next w:val="Normal"/>
    <w:link w:val="Heading5Char"/>
    <w:rsid w:val="00151F6E"/>
    <w:pPr>
      <w:keepNext/>
      <w:keepLines/>
      <w:numPr>
        <w:ilvl w:val="4"/>
        <w:numId w:val="2"/>
      </w:numPr>
      <w:spacing w:before="180" w:after="120"/>
      <w:ind w:left="1009" w:hanging="1009"/>
      <w:outlineLvl w:val="4"/>
    </w:pPr>
    <w:rPr>
      <w:rFonts w:eastAsia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rsid w:val="00151F6E"/>
    <w:pPr>
      <w:keepNext/>
      <w:keepLines/>
      <w:numPr>
        <w:ilvl w:val="5"/>
        <w:numId w:val="2"/>
      </w:numPr>
      <w:spacing w:before="180" w:after="120"/>
      <w:ind w:left="1151" w:hanging="1151"/>
      <w:outlineLvl w:val="5"/>
    </w:pPr>
    <w:rPr>
      <w:rFonts w:eastAsiaTheme="majorEastAsia" w:cstheme="majorBidi"/>
      <w:b/>
      <w:i/>
      <w:iCs/>
    </w:rPr>
  </w:style>
  <w:style w:type="paragraph" w:styleId="Heading7">
    <w:name w:val="heading 7"/>
    <w:basedOn w:val="Normal"/>
    <w:next w:val="Normal"/>
    <w:link w:val="Heading7Char"/>
    <w:uiPriority w:val="9"/>
    <w:rsid w:val="00252D59"/>
    <w:pPr>
      <w:keepNext/>
      <w:keepLines/>
      <w:numPr>
        <w:ilvl w:val="6"/>
        <w:numId w:val="2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0082B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rsid w:val="00252D59"/>
    <w:pPr>
      <w:keepNext/>
      <w:keepLines/>
      <w:numPr>
        <w:ilvl w:val="7"/>
        <w:numId w:val="2"/>
      </w:numPr>
      <w:spacing w:after="0"/>
      <w:outlineLvl w:val="7"/>
    </w:pPr>
    <w:rPr>
      <w:rFonts w:asciiTheme="majorHAnsi" w:eastAsiaTheme="majorEastAsia" w:hAnsiTheme="majorHAnsi" w:cstheme="majorBidi"/>
      <w:color w:val="0082B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252D59"/>
    <w:pPr>
      <w:keepNext/>
      <w:keepLines/>
      <w:numPr>
        <w:ilvl w:val="8"/>
        <w:numId w:val="2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0082B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insidefrontcover">
    <w:name w:val="Title inside front cover"/>
    <w:basedOn w:val="Normal"/>
    <w:qFormat/>
    <w:rsid w:val="002F0B65"/>
    <w:pPr>
      <w:spacing w:before="240" w:after="120"/>
    </w:pPr>
    <w:rPr>
      <w:b/>
      <w:bCs/>
      <w:color w:val="035B77" w:themeColor="text2"/>
      <w:sz w:val="22"/>
      <w:szCs w:val="24"/>
    </w:rPr>
  </w:style>
  <w:style w:type="paragraph" w:customStyle="1" w:styleId="NormalText">
    <w:name w:val="Normal Text"/>
    <w:link w:val="NormalTextChar"/>
    <w:rsid w:val="00081CB9"/>
    <w:pPr>
      <w:spacing w:before="120" w:after="120" w:line="264" w:lineRule="auto"/>
    </w:pPr>
    <w:rPr>
      <w:rFonts w:ascii="Century Gothic" w:hAnsi="Century Gothic"/>
      <w:color w:val="282828"/>
      <w:lang w:eastAsia="en-US"/>
    </w:rPr>
  </w:style>
  <w:style w:type="paragraph" w:customStyle="1" w:styleId="TitleInsideFrontCover0">
    <w:name w:val="Title Inside Front Cover"/>
    <w:basedOn w:val="Normal"/>
    <w:link w:val="TitleInsideFrontCoverChar"/>
    <w:qFormat/>
    <w:rsid w:val="00081CB9"/>
    <w:pPr>
      <w:spacing w:before="360" w:after="120"/>
    </w:pPr>
    <w:rPr>
      <w:b/>
      <w:bCs/>
      <w:color w:val="006CAB"/>
      <w:sz w:val="22"/>
    </w:rPr>
  </w:style>
  <w:style w:type="character" w:customStyle="1" w:styleId="TitleInsideFrontCoverChar">
    <w:name w:val="Title Inside Front Cover Char"/>
    <w:basedOn w:val="DefaultParagraphFont"/>
    <w:link w:val="TitleInsideFrontCover0"/>
    <w:rsid w:val="00081CB9"/>
    <w:rPr>
      <w:rFonts w:ascii="Century Gothic" w:hAnsi="Century Gothic"/>
      <w:b/>
      <w:bCs/>
      <w:color w:val="006CAB"/>
      <w:sz w:val="22"/>
      <w:szCs w:val="22"/>
      <w:lang w:eastAsia="en-US"/>
    </w:rPr>
  </w:style>
  <w:style w:type="paragraph" w:styleId="ListParagraph">
    <w:name w:val="List Paragraph"/>
    <w:aliases w:val="Table Text,HW Table Text,NFP GP Bulleted List,List Paragraph1,Recommendation,List Paragraph11,CRC Numbered List,DDM Gen Text,Bullet List,Bullets 1"/>
    <w:basedOn w:val="Bullet"/>
    <w:next w:val="Normal"/>
    <w:link w:val="ListParagraphChar"/>
    <w:uiPriority w:val="34"/>
    <w:qFormat/>
    <w:rsid w:val="00C73AF2"/>
    <w:pPr>
      <w:numPr>
        <w:numId w:val="0"/>
      </w:numPr>
    </w:pPr>
    <w:rPr>
      <w:sz w:val="18"/>
      <w:szCs w:val="18"/>
      <w:lang w:val="en-US"/>
    </w:rPr>
  </w:style>
  <w:style w:type="character" w:customStyle="1" w:styleId="Heading5Char">
    <w:name w:val="Heading 5 Char"/>
    <w:basedOn w:val="DefaultParagraphFont"/>
    <w:link w:val="Heading5"/>
    <w:rsid w:val="00151F6E"/>
    <w:rPr>
      <w:rFonts w:ascii="Century Gothic" w:eastAsia="Times New Roman" w:hAnsi="Century Gothic"/>
      <w:b/>
      <w:bCs/>
      <w:i/>
      <w:iCs/>
      <w:szCs w:val="26"/>
      <w:lang w:eastAsia="en-US"/>
    </w:rPr>
  </w:style>
  <w:style w:type="character" w:customStyle="1" w:styleId="NormalTextChar">
    <w:name w:val="Normal Text Char"/>
    <w:basedOn w:val="DefaultParagraphFont"/>
    <w:link w:val="NormalText"/>
    <w:rsid w:val="00081CB9"/>
    <w:rPr>
      <w:rFonts w:ascii="Century Gothic" w:hAnsi="Century Gothic"/>
      <w:color w:val="282828"/>
      <w:lang w:eastAsia="en-US"/>
    </w:rPr>
  </w:style>
  <w:style w:type="character" w:customStyle="1" w:styleId="Heading4Char">
    <w:name w:val="Heading 4 Char"/>
    <w:basedOn w:val="DefaultParagraphFont"/>
    <w:link w:val="Heading4"/>
    <w:rsid w:val="00B310A5"/>
    <w:rPr>
      <w:rFonts w:ascii="Century Gothic" w:eastAsiaTheme="majorEastAsia" w:hAnsi="Century Gothic" w:cstheme="majorBidi"/>
      <w:iCs/>
      <w:lang w:eastAsia="en-US"/>
    </w:rPr>
  </w:style>
  <w:style w:type="paragraph" w:customStyle="1" w:styleId="Bullet">
    <w:name w:val="Bullet"/>
    <w:basedOn w:val="Normal"/>
    <w:qFormat/>
    <w:rsid w:val="00A0447E"/>
    <w:pPr>
      <w:numPr>
        <w:numId w:val="7"/>
      </w:numPr>
      <w:tabs>
        <w:tab w:val="left" w:pos="1134"/>
      </w:tabs>
      <w:spacing w:before="120" w:after="120"/>
      <w:ind w:left="425" w:hanging="425"/>
    </w:pPr>
    <w:rPr>
      <w:rFonts w:cs="Arial"/>
      <w:szCs w:val="24"/>
    </w:rPr>
  </w:style>
  <w:style w:type="table" w:styleId="GridTable1Light">
    <w:name w:val="Grid Table 1 Light"/>
    <w:basedOn w:val="TableNormal"/>
    <w:uiPriority w:val="46"/>
    <w:rsid w:val="0049340F"/>
    <w:rPr>
      <w:rFonts w:ascii="Century Gothic" w:hAnsi="Century Gothic"/>
      <w:sz w:val="18"/>
    </w:rPr>
    <w:tblPr>
      <w:tblStyleRowBandSize w:val="1"/>
      <w:tblStyleColBandSize w:val="1"/>
      <w:tblBorders>
        <w:top w:val="single" w:sz="4" w:space="0" w:color="4DD0FF" w:themeColor="text1" w:themeTint="66"/>
        <w:left w:val="single" w:sz="4" w:space="0" w:color="4DD0FF" w:themeColor="text1" w:themeTint="66"/>
        <w:bottom w:val="single" w:sz="4" w:space="0" w:color="4DD0FF" w:themeColor="text1" w:themeTint="66"/>
        <w:right w:val="single" w:sz="4" w:space="0" w:color="4DD0FF" w:themeColor="text1" w:themeTint="66"/>
        <w:insideH w:val="single" w:sz="4" w:space="0" w:color="4DD0FF" w:themeColor="text1" w:themeTint="66"/>
        <w:insideV w:val="single" w:sz="4" w:space="0" w:color="4DD0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B3F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B3F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URL">
    <w:name w:val="X URL"/>
    <w:link w:val="XURLChar"/>
    <w:qFormat/>
    <w:rsid w:val="00C73AF2"/>
    <w:pPr>
      <w:spacing w:before="120" w:after="120"/>
    </w:pPr>
    <w:rPr>
      <w:rFonts w:ascii="Century Gothic" w:hAnsi="Century Gothic" w:cs="Arial"/>
      <w:color w:val="607D1C"/>
      <w:szCs w:val="24"/>
      <w:u w:val="single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151F6E"/>
    <w:rPr>
      <w:rFonts w:ascii="Century Gothic" w:eastAsiaTheme="majorEastAsia" w:hAnsi="Century Gothic" w:cstheme="majorBidi"/>
      <w:b/>
      <w:i/>
      <w:iCs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252D59"/>
    <w:rPr>
      <w:rFonts w:asciiTheme="majorHAnsi" w:eastAsiaTheme="majorEastAsia" w:hAnsiTheme="majorHAnsi" w:cstheme="majorBidi"/>
      <w:i/>
      <w:iCs/>
      <w:color w:val="0082B0" w:themeColor="text1" w:themeTint="BF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252D59"/>
    <w:rPr>
      <w:rFonts w:asciiTheme="majorHAnsi" w:eastAsiaTheme="majorEastAsia" w:hAnsiTheme="majorHAnsi" w:cstheme="majorBidi"/>
      <w:color w:val="0082B0" w:themeColor="text1" w:themeTint="BF"/>
      <w:lang w:eastAsia="en-US"/>
    </w:rPr>
  </w:style>
  <w:style w:type="paragraph" w:customStyle="1" w:styleId="Nostyle">
    <w:name w:val="No style"/>
    <w:basedOn w:val="Normal"/>
    <w:link w:val="NostyleChar"/>
    <w:qFormat/>
    <w:rsid w:val="00B310A5"/>
    <w:rPr>
      <w:szCs w:val="20"/>
    </w:rPr>
  </w:style>
  <w:style w:type="table" w:styleId="GridTable1Light-Accent1">
    <w:name w:val="Grid Table 1 Light Accent 1"/>
    <w:basedOn w:val="TableNormal"/>
    <w:uiPriority w:val="46"/>
    <w:rsid w:val="0049340F"/>
    <w:rPr>
      <w:rFonts w:ascii="Century Gothic" w:hAnsi="Century Gothic"/>
      <w:sz w:val="18"/>
    </w:rPr>
    <w:tblPr>
      <w:tblStyleRowBandSize w:val="1"/>
      <w:tblStyleColBandSize w:val="1"/>
      <w:tblBorders>
        <w:top w:val="single" w:sz="4" w:space="0" w:color="47FFA4" w:themeColor="accent1" w:themeTint="66"/>
        <w:left w:val="single" w:sz="4" w:space="0" w:color="47FFA4" w:themeColor="accent1" w:themeTint="66"/>
        <w:bottom w:val="single" w:sz="4" w:space="0" w:color="47FFA4" w:themeColor="accent1" w:themeTint="66"/>
        <w:right w:val="single" w:sz="4" w:space="0" w:color="47FFA4" w:themeColor="accent1" w:themeTint="66"/>
        <w:insideH w:val="single" w:sz="4" w:space="0" w:color="47FFA4" w:themeColor="accent1" w:themeTint="66"/>
        <w:insideV w:val="single" w:sz="4" w:space="0" w:color="47FF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EA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EA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rsid w:val="008606E9"/>
    <w:rPr>
      <w:rFonts w:ascii="Platypi" w:eastAsia="Times New Roman" w:hAnsi="Platypi"/>
      <w:b/>
      <w:color w:val="035B77" w:themeColor="text2"/>
      <w:sz w:val="48"/>
      <w:szCs w:val="48"/>
      <w:lang w:eastAsia="en-US"/>
    </w:rPr>
  </w:style>
  <w:style w:type="table" w:styleId="TableGrid">
    <w:name w:val="Table Grid"/>
    <w:basedOn w:val="TableNormal"/>
    <w:rsid w:val="0062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autoRedefine/>
    <w:uiPriority w:val="39"/>
    <w:qFormat/>
    <w:rsid w:val="005F6F22"/>
    <w:pPr>
      <w:tabs>
        <w:tab w:val="left" w:pos="567"/>
        <w:tab w:val="right" w:leader="dot" w:pos="9911"/>
      </w:tabs>
      <w:spacing w:before="240" w:after="60"/>
      <w:ind w:left="567" w:hanging="567"/>
    </w:pPr>
    <w:rPr>
      <w:b/>
      <w:bCs/>
      <w:noProof/>
      <w:color w:val="556830" w:themeColor="accent3" w:themeShade="80"/>
      <w:szCs w:val="20"/>
    </w:rPr>
  </w:style>
  <w:style w:type="character" w:styleId="Hyperlink">
    <w:name w:val="Hyperlink"/>
    <w:basedOn w:val="DefaultParagraphFont"/>
    <w:uiPriority w:val="99"/>
    <w:unhideWhenUsed/>
    <w:rsid w:val="00F26DEF"/>
    <w:rPr>
      <w:color w:val="62BAB7"/>
      <w:u w:val="single"/>
    </w:rPr>
  </w:style>
  <w:style w:type="character" w:customStyle="1" w:styleId="Heading2Char">
    <w:name w:val="Heading 2 Char"/>
    <w:basedOn w:val="DefaultParagraphFont"/>
    <w:link w:val="Heading2"/>
    <w:rsid w:val="0053579E"/>
    <w:rPr>
      <w:rFonts w:ascii="DM Sans" w:eastAsiaTheme="majorEastAsia" w:hAnsi="DM Sans" w:cstheme="majorBidi"/>
      <w:b/>
      <w:bCs/>
      <w:color w:val="82C5FF" w:themeColor="background1"/>
      <w:sz w:val="3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E201C9"/>
    <w:rPr>
      <w:rFonts w:ascii="Century Gothic" w:eastAsiaTheme="majorEastAsia" w:hAnsi="Century Gothic" w:cstheme="majorBidi"/>
      <w:b/>
      <w:lang w:eastAsia="en-US"/>
    </w:rPr>
  </w:style>
  <w:style w:type="paragraph" w:styleId="TOC2">
    <w:name w:val="toc 2"/>
    <w:basedOn w:val="Normal"/>
    <w:autoRedefine/>
    <w:uiPriority w:val="39"/>
    <w:qFormat/>
    <w:rsid w:val="00DE0726"/>
    <w:pPr>
      <w:tabs>
        <w:tab w:val="left" w:pos="1134"/>
        <w:tab w:val="right" w:leader="dot" w:pos="9911"/>
      </w:tabs>
      <w:spacing w:before="120" w:after="100"/>
      <w:ind w:left="1134" w:hanging="567"/>
    </w:pPr>
    <w:rPr>
      <w:noProof/>
      <w:color w:val="282828"/>
      <w:szCs w:val="20"/>
    </w:rPr>
  </w:style>
  <w:style w:type="paragraph" w:styleId="TOC3">
    <w:name w:val="toc 3"/>
    <w:basedOn w:val="Normal"/>
    <w:autoRedefine/>
    <w:uiPriority w:val="39"/>
    <w:qFormat/>
    <w:rsid w:val="006C1010"/>
    <w:pPr>
      <w:tabs>
        <w:tab w:val="left" w:pos="1985"/>
        <w:tab w:val="right" w:leader="dot" w:pos="9911"/>
      </w:tabs>
      <w:spacing w:before="120" w:after="100"/>
      <w:ind w:left="1985" w:hanging="851"/>
    </w:pPr>
    <w:rPr>
      <w:rFonts w:eastAsiaTheme="minorEastAsia" w:cstheme="minorBidi"/>
      <w:noProof/>
      <w:sz w:val="18"/>
      <w:szCs w:val="18"/>
      <w:lang w:eastAsia="en-AU"/>
    </w:rPr>
  </w:style>
  <w:style w:type="paragraph" w:styleId="DocumentMap">
    <w:name w:val="Document Map"/>
    <w:basedOn w:val="Normal"/>
    <w:link w:val="DocumentMapChar"/>
    <w:rsid w:val="007502C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7502C4"/>
    <w:rPr>
      <w:rFonts w:ascii="Tahoma" w:hAnsi="Tahoma" w:cs="Tahoma"/>
      <w:color w:val="82C5FF" w:themeColor="background1"/>
      <w:sz w:val="16"/>
      <w:szCs w:val="16"/>
      <w:lang w:eastAsia="en-US"/>
    </w:rPr>
  </w:style>
  <w:style w:type="paragraph" w:styleId="FootnoteText">
    <w:name w:val="footnote text"/>
    <w:basedOn w:val="Normal"/>
    <w:link w:val="FootnoteTextChar"/>
    <w:uiPriority w:val="3"/>
    <w:rsid w:val="007502C4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3"/>
    <w:rsid w:val="007502C4"/>
    <w:rPr>
      <w:rFonts w:ascii="Century Gothic" w:hAnsi="Century Gothic"/>
      <w:lang w:eastAsia="en-US"/>
    </w:rPr>
  </w:style>
  <w:style w:type="paragraph" w:styleId="NormalIndent">
    <w:name w:val="Normal Indent"/>
    <w:basedOn w:val="Normal"/>
    <w:rsid w:val="007C055B"/>
    <w:pPr>
      <w:ind w:left="720"/>
    </w:pPr>
  </w:style>
  <w:style w:type="paragraph" w:styleId="ListNumber5">
    <w:name w:val="List Number 5"/>
    <w:basedOn w:val="Normal"/>
    <w:rsid w:val="007C055B"/>
    <w:pPr>
      <w:numPr>
        <w:numId w:val="1"/>
      </w:numPr>
      <w:contextualSpacing/>
    </w:pPr>
  </w:style>
  <w:style w:type="character" w:customStyle="1" w:styleId="Heading9Char">
    <w:name w:val="Heading 9 Char"/>
    <w:basedOn w:val="DefaultParagraphFont"/>
    <w:link w:val="Heading9"/>
    <w:uiPriority w:val="9"/>
    <w:rsid w:val="00252D59"/>
    <w:rPr>
      <w:rFonts w:asciiTheme="majorHAnsi" w:eastAsiaTheme="majorEastAsia" w:hAnsiTheme="majorHAnsi" w:cstheme="majorBidi"/>
      <w:i/>
      <w:iCs/>
      <w:color w:val="0082B0" w:themeColor="text1" w:themeTint="BF"/>
      <w:lang w:eastAsia="en-US"/>
    </w:rPr>
  </w:style>
  <w:style w:type="table" w:styleId="GridTable1Light-Accent2">
    <w:name w:val="Grid Table 1 Light Accent 2"/>
    <w:basedOn w:val="TableNormal"/>
    <w:uiPriority w:val="46"/>
    <w:rsid w:val="0049340F"/>
    <w:rPr>
      <w:rFonts w:ascii="Century Gothic" w:hAnsi="Century Gothic"/>
    </w:rPr>
    <w:tblPr>
      <w:tblStyleRowBandSize w:val="1"/>
      <w:tblStyleColBandSize w:val="1"/>
      <w:tblBorders>
        <w:top w:val="single" w:sz="4" w:space="0" w:color="63FFF8" w:themeColor="accent2" w:themeTint="66"/>
        <w:left w:val="single" w:sz="4" w:space="0" w:color="63FFF8" w:themeColor="accent2" w:themeTint="66"/>
        <w:bottom w:val="single" w:sz="4" w:space="0" w:color="63FFF8" w:themeColor="accent2" w:themeTint="66"/>
        <w:right w:val="single" w:sz="4" w:space="0" w:color="63FFF8" w:themeColor="accent2" w:themeTint="66"/>
        <w:insideH w:val="single" w:sz="4" w:space="0" w:color="63FFF8" w:themeColor="accent2" w:themeTint="66"/>
        <w:insideV w:val="single" w:sz="4" w:space="0" w:color="63FFF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5FF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5FF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rsid w:val="001D1A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D1AB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1ABD"/>
    <w:rPr>
      <w:rFonts w:ascii="Century Gothic" w:hAnsi="Century Gothic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D1A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D1ABD"/>
    <w:rPr>
      <w:rFonts w:ascii="Century Gothic" w:hAnsi="Century Gothic"/>
      <w:b/>
      <w:bCs/>
      <w:lang w:eastAsia="en-US"/>
    </w:rPr>
  </w:style>
  <w:style w:type="character" w:styleId="FootnoteReference">
    <w:name w:val="footnote reference"/>
    <w:basedOn w:val="DefaultParagraphFont"/>
    <w:rsid w:val="001E75F1"/>
    <w:rPr>
      <w:vertAlign w:val="superscript"/>
    </w:rPr>
  </w:style>
  <w:style w:type="paragraph" w:styleId="Caption">
    <w:name w:val="caption"/>
    <w:basedOn w:val="XURL"/>
    <w:next w:val="Normal"/>
    <w:link w:val="CaptionChar"/>
    <w:uiPriority w:val="35"/>
    <w:qFormat/>
    <w:rsid w:val="00F26DEF"/>
    <w:rPr>
      <w:sz w:val="18"/>
      <w:u w:val="none"/>
    </w:rPr>
  </w:style>
  <w:style w:type="paragraph" w:customStyle="1" w:styleId="TitleAppendix">
    <w:name w:val="Title Appendix"/>
    <w:basedOn w:val="Caption"/>
    <w:link w:val="TitleAppendixChar"/>
    <w:rsid w:val="00B56604"/>
    <w:rPr>
      <w:sz w:val="24"/>
    </w:rPr>
  </w:style>
  <w:style w:type="character" w:customStyle="1" w:styleId="XURLChar">
    <w:name w:val="X URL Char"/>
    <w:basedOn w:val="DefaultParagraphFont"/>
    <w:link w:val="XURL"/>
    <w:rsid w:val="00C73AF2"/>
    <w:rPr>
      <w:rFonts w:ascii="Century Gothic" w:hAnsi="Century Gothic" w:cs="Arial"/>
      <w:color w:val="607D1C"/>
      <w:szCs w:val="24"/>
      <w:u w:val="single"/>
      <w:lang w:eastAsia="en-US"/>
    </w:rPr>
  </w:style>
  <w:style w:type="character" w:customStyle="1" w:styleId="CaptionChar">
    <w:name w:val="Caption Char"/>
    <w:basedOn w:val="XURLChar"/>
    <w:link w:val="Caption"/>
    <w:uiPriority w:val="35"/>
    <w:rsid w:val="00F26DEF"/>
    <w:rPr>
      <w:rFonts w:ascii="Century Gothic" w:hAnsi="Century Gothic" w:cs="Arial"/>
      <w:color w:val="62BAB7"/>
      <w:sz w:val="18"/>
      <w:szCs w:val="24"/>
      <w:u w:val="single"/>
      <w:lang w:eastAsia="en-US"/>
    </w:rPr>
  </w:style>
  <w:style w:type="character" w:customStyle="1" w:styleId="TitleAppendixChar">
    <w:name w:val="Title Appendix Char"/>
    <w:basedOn w:val="CaptionChar"/>
    <w:link w:val="TitleAppendix"/>
    <w:rsid w:val="00B56604"/>
    <w:rPr>
      <w:rFonts w:ascii="Century Gothic" w:hAnsi="Century Gothic" w:cs="Arial"/>
      <w:color w:val="4195BA"/>
      <w:sz w:val="18"/>
      <w:szCs w:val="24"/>
      <w:u w:val="single"/>
      <w:lang w:eastAsia="en-US"/>
    </w:rPr>
  </w:style>
  <w:style w:type="character" w:styleId="FollowedHyperlink">
    <w:name w:val="FollowedHyperlink"/>
    <w:basedOn w:val="DefaultParagraphFont"/>
    <w:uiPriority w:val="2"/>
    <w:rsid w:val="00460D7D"/>
    <w:rPr>
      <w:color w:val="7030A0" w:themeColor="followedHyperlink"/>
      <w:u w:val="single"/>
    </w:rPr>
  </w:style>
  <w:style w:type="character" w:customStyle="1" w:styleId="NostyleChar">
    <w:name w:val="No style Char"/>
    <w:basedOn w:val="DefaultParagraphFont"/>
    <w:link w:val="Nostyle"/>
    <w:rsid w:val="00B310A5"/>
    <w:rPr>
      <w:rFonts w:ascii="Century Gothic" w:hAnsi="Century Gothic"/>
      <w:lang w:eastAsia="en-US"/>
    </w:rPr>
  </w:style>
  <w:style w:type="table" w:customStyle="1" w:styleId="DSITIA-Blue">
    <w:name w:val="DSITIA - Blue"/>
    <w:basedOn w:val="TableNormal"/>
    <w:rsid w:val="00D1032F"/>
    <w:pPr>
      <w:keepNext/>
    </w:pPr>
    <w:rPr>
      <w:rFonts w:ascii="Arial" w:eastAsia="Times New Roman" w:hAnsi="Arial"/>
      <w:sz w:val="22"/>
      <w:lang w:val="en-GB"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85" w:type="dxa"/>
        <w:left w:w="113" w:type="dxa"/>
        <w:bottom w:w="28" w:type="dxa"/>
        <w:right w:w="113" w:type="dxa"/>
      </w:tblCellMar>
    </w:tbl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b w:val="0"/>
        <w:color w:val="82C5FF" w:themeColor="background1"/>
        <w:sz w:val="24"/>
      </w:rPr>
      <w:tblPr>
        <w:tblCellMar>
          <w:top w:w="170" w:type="dxa"/>
          <w:left w:w="119" w:type="dxa"/>
          <w:bottom w:w="28" w:type="dxa"/>
          <w:right w:w="119" w:type="dxa"/>
        </w:tblCellMar>
      </w:tblPr>
      <w:tcPr>
        <w:shd w:val="clear" w:color="auto" w:fill="3B6E8F"/>
      </w:tc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headings">
    <w:name w:val="Table headings"/>
    <w:basedOn w:val="Normal"/>
    <w:rsid w:val="00D1032F"/>
    <w:pPr>
      <w:spacing w:before="0" w:after="0"/>
    </w:pPr>
    <w:rPr>
      <w:rFonts w:ascii="Arial" w:eastAsia="Times New Roman" w:hAnsi="Arial"/>
      <w:b/>
      <w:bCs/>
      <w:color w:val="FFFFFF"/>
      <w:szCs w:val="20"/>
    </w:rPr>
  </w:style>
  <w:style w:type="paragraph" w:customStyle="1" w:styleId="Tabletext">
    <w:name w:val="Table text"/>
    <w:basedOn w:val="Normal"/>
    <w:rsid w:val="00D1032F"/>
    <w:pPr>
      <w:keepNext/>
      <w:spacing w:before="0" w:after="0"/>
    </w:pPr>
    <w:rPr>
      <w:rFonts w:ascii="Arial" w:eastAsia="Times New Roman" w:hAnsi="Arial"/>
      <w:szCs w:val="20"/>
    </w:rPr>
  </w:style>
  <w:style w:type="numbering" w:styleId="111111">
    <w:name w:val="Outline List 2"/>
    <w:basedOn w:val="NoList"/>
    <w:rsid w:val="009E2D44"/>
    <w:pPr>
      <w:numPr>
        <w:numId w:val="3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E2D44"/>
    <w:pPr>
      <w:spacing w:before="0" w:after="0"/>
    </w:pPr>
    <w:rPr>
      <w:rFonts w:ascii="Arial" w:eastAsia="Times New Roman" w:hAnsi="Arial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2D44"/>
    <w:rPr>
      <w:rFonts w:ascii="Arial" w:eastAsia="Times New Roman" w:hAnsi="Arial"/>
      <w:lang w:eastAsia="en-US"/>
    </w:rPr>
  </w:style>
  <w:style w:type="paragraph" w:customStyle="1" w:styleId="References">
    <w:name w:val="References"/>
    <w:basedOn w:val="Normal"/>
    <w:link w:val="ReferencesChar"/>
    <w:uiPriority w:val="1"/>
    <w:rsid w:val="009E2D44"/>
    <w:pPr>
      <w:autoSpaceDE w:val="0"/>
      <w:autoSpaceDN w:val="0"/>
      <w:adjustRightInd w:val="0"/>
      <w:spacing w:before="120" w:after="40"/>
      <w:ind w:left="720" w:hanging="720"/>
    </w:pPr>
    <w:rPr>
      <w:rFonts w:ascii="Arial" w:eastAsia="Times New Roman" w:hAnsi="Arial"/>
      <w:sz w:val="22"/>
      <w:szCs w:val="20"/>
      <w:lang w:eastAsia="en-AU"/>
    </w:rPr>
  </w:style>
  <w:style w:type="character" w:customStyle="1" w:styleId="ReferencesChar">
    <w:name w:val="References Char"/>
    <w:basedOn w:val="DefaultParagraphFont"/>
    <w:link w:val="References"/>
    <w:uiPriority w:val="1"/>
    <w:rsid w:val="009E2D44"/>
    <w:rPr>
      <w:rFonts w:ascii="Arial" w:eastAsia="Times New Roman" w:hAnsi="Arial"/>
      <w:sz w:val="22"/>
    </w:rPr>
  </w:style>
  <w:style w:type="paragraph" w:customStyle="1" w:styleId="Footer-landscape">
    <w:name w:val="Footer-landscape"/>
    <w:basedOn w:val="Normal"/>
    <w:uiPriority w:val="2"/>
    <w:rsid w:val="00440AB3"/>
    <w:pPr>
      <w:pBdr>
        <w:top w:val="single" w:sz="4" w:space="4" w:color="808080"/>
      </w:pBdr>
      <w:tabs>
        <w:tab w:val="right" w:pos="9921"/>
        <w:tab w:val="right" w:pos="14572"/>
      </w:tabs>
      <w:spacing w:before="0" w:after="0"/>
      <w:ind w:left="-737" w:right="-737"/>
    </w:pPr>
    <w:rPr>
      <w:rFonts w:ascii="Arial" w:eastAsia="Times New Roman" w:hAnsi="Arial"/>
      <w:color w:val="00A2DC" w:themeColor="text1" w:themeTint="A6"/>
      <w:sz w:val="18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9E2D44"/>
    <w:rPr>
      <w:vertAlign w:val="superscript"/>
    </w:rPr>
  </w:style>
  <w:style w:type="paragraph" w:customStyle="1" w:styleId="Header-landscape">
    <w:name w:val="Header-landscape"/>
    <w:basedOn w:val="Normal"/>
    <w:uiPriority w:val="2"/>
    <w:rsid w:val="00440AB3"/>
    <w:pPr>
      <w:pBdr>
        <w:top w:val="single" w:sz="4" w:space="4" w:color="808080"/>
        <w:bottom w:val="single" w:sz="4" w:space="4" w:color="808080"/>
      </w:pBdr>
      <w:tabs>
        <w:tab w:val="right" w:pos="14572"/>
      </w:tabs>
      <w:spacing w:before="0" w:after="0"/>
      <w:ind w:left="-737" w:right="-737"/>
    </w:pPr>
    <w:rPr>
      <w:rFonts w:ascii="Arial" w:eastAsia="Times New Roman" w:hAnsi="Arial"/>
      <w:sz w:val="18"/>
      <w:szCs w:val="24"/>
    </w:rPr>
  </w:style>
  <w:style w:type="paragraph" w:customStyle="1" w:styleId="Heading1numbered">
    <w:name w:val="Heading 1 numbered"/>
    <w:basedOn w:val="Heading1"/>
    <w:next w:val="Normal"/>
    <w:rsid w:val="009E2D44"/>
    <w:pPr>
      <w:autoSpaceDE w:val="0"/>
      <w:autoSpaceDN w:val="0"/>
      <w:adjustRightInd w:val="0"/>
      <w:spacing w:before="440" w:after="180" w:line="276" w:lineRule="auto"/>
      <w:ind w:left="340" w:hanging="340"/>
      <w:textboxTightWrap w:val="allLines"/>
    </w:pPr>
    <w:rPr>
      <w:rFonts w:ascii="Arial Bold" w:hAnsi="Arial Bold" w:cs="Arial"/>
      <w:color w:val="15467A"/>
      <w:sz w:val="36"/>
      <w:szCs w:val="36"/>
      <w:lang w:eastAsia="en-AU"/>
      <w14:textFill>
        <w14:solidFill>
          <w14:srgbClr w14:val="15467A">
            <w14:lumMod w14:val="50000"/>
          </w14:srgbClr>
        </w14:solidFill>
      </w14:textFill>
    </w:rPr>
  </w:style>
  <w:style w:type="paragraph" w:customStyle="1" w:styleId="Heading2numbered">
    <w:name w:val="Heading 2 numbered"/>
    <w:basedOn w:val="Heading2"/>
    <w:next w:val="Normal"/>
    <w:rsid w:val="006E7869"/>
    <w:rPr>
      <w:b w:val="0"/>
      <w:bCs w:val="0"/>
    </w:rPr>
  </w:style>
  <w:style w:type="paragraph" w:customStyle="1" w:styleId="Heading3numbered">
    <w:name w:val="Heading 3 numbered"/>
    <w:basedOn w:val="Heading3"/>
    <w:next w:val="Normal"/>
    <w:rsid w:val="009E2D44"/>
    <w:pPr>
      <w:numPr>
        <w:ilvl w:val="0"/>
        <w:numId w:val="0"/>
      </w:numPr>
      <w:autoSpaceDE w:val="0"/>
      <w:autoSpaceDN w:val="0"/>
      <w:adjustRightInd w:val="0"/>
      <w:spacing w:before="280" w:after="180" w:line="276" w:lineRule="auto"/>
      <w:ind w:left="624" w:hanging="624"/>
      <w:textboxTightWrap w:val="allLines"/>
    </w:pPr>
    <w:rPr>
      <w:rFonts w:ascii="Arial" w:eastAsia="Times New Roman" w:hAnsi="Arial" w:cs="Arial"/>
      <w:b w:val="0"/>
      <w:sz w:val="22"/>
      <w:lang w:eastAsia="en-AU"/>
    </w:rPr>
  </w:style>
  <w:style w:type="paragraph" w:customStyle="1" w:styleId="Heading4numbered">
    <w:name w:val="Heading 4 numbered"/>
    <w:basedOn w:val="Heading4"/>
    <w:next w:val="Normal"/>
    <w:rsid w:val="009E2D44"/>
    <w:pPr>
      <w:numPr>
        <w:ilvl w:val="0"/>
        <w:numId w:val="0"/>
      </w:numPr>
      <w:autoSpaceDE w:val="0"/>
      <w:autoSpaceDN w:val="0"/>
      <w:adjustRightInd w:val="0"/>
      <w:spacing w:before="280" w:after="180" w:line="276" w:lineRule="auto"/>
      <w:ind w:left="794" w:hanging="794"/>
      <w:textboxTightWrap w:val="allLines"/>
    </w:pPr>
    <w:rPr>
      <w:rFonts w:ascii="Arial" w:eastAsia="Times New Roman" w:hAnsi="Arial" w:cs="Arial"/>
      <w:i/>
      <w:sz w:val="22"/>
      <w:lang w:eastAsia="en-AU"/>
    </w:rPr>
  </w:style>
  <w:style w:type="paragraph" w:customStyle="1" w:styleId="Heading5numbered">
    <w:name w:val="Heading 5 numbered"/>
    <w:basedOn w:val="Heading5"/>
    <w:next w:val="Normal"/>
    <w:rsid w:val="009E2D44"/>
    <w:pPr>
      <w:numPr>
        <w:ilvl w:val="0"/>
        <w:numId w:val="0"/>
      </w:numPr>
      <w:autoSpaceDE w:val="0"/>
      <w:autoSpaceDN w:val="0"/>
      <w:adjustRightInd w:val="0"/>
      <w:spacing w:before="280" w:after="180" w:line="276" w:lineRule="auto"/>
      <w:ind w:left="964" w:hanging="964"/>
      <w:textboxTightWrap w:val="allLines"/>
    </w:pPr>
    <w:rPr>
      <w:rFonts w:ascii="Arial" w:hAnsi="Arial" w:cs="Arial"/>
      <w:b w:val="0"/>
      <w:sz w:val="22"/>
      <w:szCs w:val="20"/>
      <w:lang w:eastAsia="en-AU"/>
    </w:rPr>
  </w:style>
  <w:style w:type="paragraph" w:styleId="Index1">
    <w:name w:val="index 1"/>
    <w:basedOn w:val="Normal"/>
    <w:next w:val="Normal"/>
    <w:autoRedefine/>
    <w:semiHidden/>
    <w:rsid w:val="009E2D44"/>
    <w:pPr>
      <w:spacing w:before="180" w:after="60"/>
      <w:ind w:left="220" w:hanging="220"/>
    </w:pPr>
    <w:rPr>
      <w:rFonts w:ascii="Arial" w:eastAsia="Times New Roman" w:hAnsi="Arial"/>
      <w:sz w:val="22"/>
      <w:szCs w:val="24"/>
    </w:rPr>
  </w:style>
  <w:style w:type="paragraph" w:styleId="ListBullet5">
    <w:name w:val="List Bullet 5"/>
    <w:basedOn w:val="Normal"/>
    <w:rsid w:val="009E2D44"/>
    <w:pPr>
      <w:numPr>
        <w:ilvl w:val="4"/>
        <w:numId w:val="4"/>
      </w:numPr>
      <w:spacing w:before="180" w:after="60"/>
    </w:pPr>
    <w:rPr>
      <w:rFonts w:ascii="Arial" w:eastAsia="Times New Roman" w:hAnsi="Arial"/>
      <w:sz w:val="22"/>
      <w:szCs w:val="24"/>
    </w:rPr>
  </w:style>
  <w:style w:type="paragraph" w:styleId="ListNumber4">
    <w:name w:val="List Number 4"/>
    <w:basedOn w:val="Normal"/>
    <w:rsid w:val="009E2D44"/>
    <w:pPr>
      <w:tabs>
        <w:tab w:val="num" w:pos="1361"/>
      </w:tabs>
      <w:spacing w:before="120" w:after="60"/>
      <w:ind w:left="1361" w:hanging="340"/>
    </w:pPr>
    <w:rPr>
      <w:rFonts w:ascii="Arial" w:eastAsia="Times New Roman" w:hAnsi="Arial"/>
      <w:sz w:val="22"/>
      <w:szCs w:val="24"/>
    </w:rPr>
  </w:style>
  <w:style w:type="numbering" w:customStyle="1" w:styleId="StyleNumbered">
    <w:name w:val="Style Numbered"/>
    <w:basedOn w:val="NoList"/>
    <w:rsid w:val="009E2D44"/>
    <w:pPr>
      <w:numPr>
        <w:numId w:val="5"/>
      </w:numPr>
    </w:pPr>
  </w:style>
  <w:style w:type="table" w:customStyle="1" w:styleId="Table-Orange">
    <w:name w:val="Table - Orange"/>
    <w:basedOn w:val="TableNormal"/>
    <w:rsid w:val="009E2D44"/>
    <w:rPr>
      <w:rFonts w:ascii="Arial" w:eastAsia="Times New Roman" w:hAnsi="Arial"/>
      <w:sz w:val="22"/>
      <w:lang w:val="en-GB"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85" w:type="dxa"/>
        <w:left w:w="113" w:type="dxa"/>
        <w:bottom w:w="28" w:type="dxa"/>
        <w:right w:w="113" w:type="dxa"/>
      </w:tblCellMar>
    </w:tbl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b w:val="0"/>
        <w:color w:val="82C5FF" w:themeColor="background1"/>
        <w:sz w:val="24"/>
      </w:rPr>
      <w:tblPr>
        <w:tblCellMar>
          <w:top w:w="170" w:type="dxa"/>
          <w:left w:w="113" w:type="dxa"/>
          <w:bottom w:w="28" w:type="dxa"/>
          <w:right w:w="113" w:type="dxa"/>
        </w:tblCellMar>
      </w:tblPr>
      <w:tcPr>
        <w:shd w:val="clear" w:color="auto" w:fill="E96D1F"/>
      </w:tc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table" w:customStyle="1" w:styleId="DSITIA-LowInk">
    <w:name w:val="DSITIA - Low Ink"/>
    <w:basedOn w:val="Table-Orange"/>
    <w:rsid w:val="009E2D44"/>
    <w:pPr>
      <w:keepNext/>
    </w:pPr>
    <w:tblPr/>
    <w:tblStylePr w:type="firstRow">
      <w:pPr>
        <w:wordWrap/>
        <w:spacing w:beforeLines="0" w:beforeAutospacing="0" w:afterLines="0" w:afterAutospacing="0" w:line="240" w:lineRule="auto"/>
        <w:ind w:leftChars="0" w:left="0" w:rightChars="0" w:right="0"/>
      </w:pPr>
      <w:rPr>
        <w:rFonts w:ascii="Arial" w:hAnsi="Arial"/>
        <w:b/>
        <w:color w:val="4D4D4D"/>
        <w:sz w:val="24"/>
      </w:rPr>
      <w:tblPr>
        <w:tblCellMar>
          <w:top w:w="170" w:type="dxa"/>
          <w:left w:w="113" w:type="dxa"/>
          <w:bottom w:w="28" w:type="dxa"/>
          <w:right w:w="113" w:type="dxa"/>
        </w:tblCellMar>
      </w:tblPr>
      <w:tcPr>
        <w:shd w:val="clear" w:color="auto" w:fill="E96D1F"/>
      </w:tcPr>
    </w:tblStylePr>
    <w:tblStylePr w:type="lastRow">
      <w:rPr>
        <w:color w:val="004057" w:themeColor="text1" w:themeTint="F2"/>
      </w:rPr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styleId="TableofFigures">
    <w:name w:val="table of figures"/>
    <w:next w:val="Normal"/>
    <w:uiPriority w:val="99"/>
    <w:rsid w:val="009E2D44"/>
    <w:pPr>
      <w:tabs>
        <w:tab w:val="right" w:leader="dot" w:pos="9639"/>
      </w:tabs>
      <w:spacing w:before="120" w:after="180"/>
    </w:pPr>
    <w:rPr>
      <w:rFonts w:ascii="Arial" w:eastAsia="Times New Roman" w:hAnsi="Arial"/>
      <w:sz w:val="22"/>
    </w:rPr>
  </w:style>
  <w:style w:type="paragraph" w:customStyle="1" w:styleId="TitlePageSubtitle">
    <w:name w:val="Title Page Subtitle"/>
    <w:basedOn w:val="Normal"/>
    <w:next w:val="TitlePageOptionalTextLine"/>
    <w:uiPriority w:val="1"/>
    <w:rsid w:val="009E2D44"/>
    <w:pPr>
      <w:spacing w:before="360" w:after="60"/>
    </w:pPr>
    <w:rPr>
      <w:rFonts w:ascii="Arial" w:eastAsia="Times New Roman" w:hAnsi="Arial" w:cs="Arial"/>
      <w:color w:val="808080"/>
      <w:sz w:val="40"/>
      <w:szCs w:val="24"/>
    </w:rPr>
  </w:style>
  <w:style w:type="paragraph" w:customStyle="1" w:styleId="Titlepageheading">
    <w:name w:val="Title page heading"/>
    <w:basedOn w:val="TitlePageSubtitle"/>
    <w:next w:val="TitlePageSubtitle"/>
    <w:uiPriority w:val="1"/>
    <w:rsid w:val="009E2D44"/>
    <w:pPr>
      <w:pBdr>
        <w:bottom w:val="single" w:sz="4" w:space="1" w:color="53697A"/>
      </w:pBdr>
      <w:spacing w:before="2000" w:after="240"/>
    </w:pPr>
    <w:rPr>
      <w:color w:val="53697A"/>
      <w:sz w:val="72"/>
    </w:rPr>
  </w:style>
  <w:style w:type="paragraph" w:customStyle="1" w:styleId="TitlePageOptionalTextLine">
    <w:name w:val="Title Page Optional Text Line"/>
    <w:basedOn w:val="Normal"/>
    <w:next w:val="Heading1"/>
    <w:link w:val="TitlePageOptionalTextLineChar"/>
    <w:uiPriority w:val="1"/>
    <w:rsid w:val="009E2D44"/>
    <w:pPr>
      <w:spacing w:before="360" w:after="240"/>
    </w:pPr>
    <w:rPr>
      <w:rFonts w:ascii="Arial" w:eastAsia="Times New Roman" w:hAnsi="Arial" w:cs="Arial"/>
      <w:color w:val="FFFFFF"/>
      <w:sz w:val="30"/>
      <w:szCs w:val="24"/>
    </w:rPr>
  </w:style>
  <w:style w:type="character" w:customStyle="1" w:styleId="TitlePageOptionalTextLineChar">
    <w:name w:val="Title Page Optional Text Line Char"/>
    <w:basedOn w:val="DefaultParagraphFont"/>
    <w:link w:val="TitlePageOptionalTextLine"/>
    <w:uiPriority w:val="1"/>
    <w:rsid w:val="009E2D44"/>
    <w:rPr>
      <w:rFonts w:ascii="Arial" w:eastAsia="Times New Roman" w:hAnsi="Arial" w:cs="Arial"/>
      <w:color w:val="FFFFFF"/>
      <w:sz w:val="30"/>
      <w:szCs w:val="24"/>
      <w:lang w:eastAsia="en-US"/>
    </w:rPr>
  </w:style>
  <w:style w:type="paragraph" w:styleId="TOC4">
    <w:name w:val="toc 4"/>
    <w:basedOn w:val="Normal"/>
    <w:next w:val="Normal"/>
    <w:autoRedefine/>
    <w:semiHidden/>
    <w:rsid w:val="009E2D44"/>
    <w:pPr>
      <w:spacing w:before="180" w:after="60"/>
      <w:ind w:left="660"/>
    </w:pPr>
    <w:rPr>
      <w:rFonts w:ascii="Arial" w:eastAsia="Times New Roman" w:hAnsi="Arial"/>
      <w:sz w:val="22"/>
      <w:szCs w:val="24"/>
    </w:rPr>
  </w:style>
  <w:style w:type="paragraph" w:styleId="TOC5">
    <w:name w:val="toc 5"/>
    <w:basedOn w:val="Normal"/>
    <w:next w:val="Normal"/>
    <w:autoRedefine/>
    <w:semiHidden/>
    <w:rsid w:val="009E2D44"/>
    <w:pPr>
      <w:spacing w:before="180" w:after="60"/>
      <w:ind w:left="880"/>
    </w:pPr>
    <w:rPr>
      <w:rFonts w:ascii="Arial" w:eastAsia="Times New Roman" w:hAnsi="Arial"/>
      <w:sz w:val="22"/>
      <w:szCs w:val="24"/>
    </w:rPr>
  </w:style>
  <w:style w:type="paragraph" w:styleId="TOC6">
    <w:name w:val="toc 6"/>
    <w:basedOn w:val="Normal"/>
    <w:next w:val="Normal"/>
    <w:autoRedefine/>
    <w:semiHidden/>
    <w:rsid w:val="009E2D44"/>
    <w:pPr>
      <w:spacing w:before="180" w:after="60"/>
      <w:ind w:left="1100"/>
    </w:pPr>
    <w:rPr>
      <w:rFonts w:ascii="Arial" w:eastAsia="Times New Roman" w:hAnsi="Arial"/>
      <w:sz w:val="22"/>
      <w:szCs w:val="24"/>
    </w:rPr>
  </w:style>
  <w:style w:type="paragraph" w:styleId="TOC7">
    <w:name w:val="toc 7"/>
    <w:basedOn w:val="Normal"/>
    <w:next w:val="Normal"/>
    <w:autoRedefine/>
    <w:semiHidden/>
    <w:rsid w:val="009E2D44"/>
    <w:pPr>
      <w:spacing w:before="180" w:after="60"/>
      <w:ind w:left="1320"/>
    </w:pPr>
    <w:rPr>
      <w:rFonts w:ascii="Arial" w:eastAsia="Times New Roman" w:hAnsi="Arial"/>
      <w:sz w:val="22"/>
      <w:szCs w:val="24"/>
    </w:rPr>
  </w:style>
  <w:style w:type="paragraph" w:styleId="TOC8">
    <w:name w:val="toc 8"/>
    <w:basedOn w:val="Normal"/>
    <w:next w:val="Normal"/>
    <w:autoRedefine/>
    <w:semiHidden/>
    <w:rsid w:val="009E2D44"/>
    <w:pPr>
      <w:spacing w:before="180" w:after="60"/>
      <w:ind w:left="1540"/>
    </w:pPr>
    <w:rPr>
      <w:rFonts w:ascii="Arial" w:eastAsia="Times New Roman" w:hAnsi="Arial"/>
      <w:sz w:val="22"/>
      <w:szCs w:val="24"/>
    </w:rPr>
  </w:style>
  <w:style w:type="paragraph" w:styleId="TOC9">
    <w:name w:val="toc 9"/>
    <w:basedOn w:val="Normal"/>
    <w:next w:val="Normal"/>
    <w:autoRedefine/>
    <w:semiHidden/>
    <w:rsid w:val="009E2D44"/>
    <w:pPr>
      <w:spacing w:before="180" w:after="60"/>
      <w:ind w:left="1760"/>
    </w:pPr>
    <w:rPr>
      <w:rFonts w:ascii="Arial" w:eastAsia="Times New Roman" w:hAnsi="Arial"/>
      <w:sz w:val="22"/>
      <w:szCs w:val="24"/>
    </w:rPr>
  </w:style>
  <w:style w:type="paragraph" w:customStyle="1" w:styleId="TOCHeader">
    <w:name w:val="TOC Header"/>
    <w:basedOn w:val="Normal"/>
    <w:uiPriority w:val="1"/>
    <w:rsid w:val="009E2D44"/>
    <w:pPr>
      <w:spacing w:before="180" w:after="60"/>
    </w:pPr>
    <w:rPr>
      <w:rFonts w:ascii="Arial Bold" w:eastAsia="Times New Roman" w:hAnsi="Arial Bold"/>
      <w:b/>
      <w:color w:val="15467A"/>
      <w:sz w:val="36"/>
      <w:szCs w:val="36"/>
    </w:rPr>
  </w:style>
  <w:style w:type="character" w:styleId="PlaceholderText">
    <w:name w:val="Placeholder Text"/>
    <w:basedOn w:val="DefaultParagraphFont"/>
    <w:uiPriority w:val="99"/>
    <w:rsid w:val="009E2D44"/>
    <w:rPr>
      <w:color w:val="808080"/>
    </w:rPr>
  </w:style>
  <w:style w:type="numbering" w:customStyle="1" w:styleId="Numberedheadings">
    <w:name w:val="Numbered headings"/>
    <w:uiPriority w:val="99"/>
    <w:rsid w:val="009E2D44"/>
    <w:pPr>
      <w:numPr>
        <w:numId w:val="6"/>
      </w:numPr>
    </w:pPr>
  </w:style>
  <w:style w:type="paragraph" w:customStyle="1" w:styleId="Tips">
    <w:name w:val="Tips"/>
    <w:basedOn w:val="Normal"/>
    <w:uiPriority w:val="1"/>
    <w:semiHidden/>
    <w:qFormat/>
    <w:rsid w:val="009E2D44"/>
    <w:pPr>
      <w:spacing w:before="180" w:after="60"/>
    </w:pPr>
    <w:rPr>
      <w:rFonts w:ascii="Arial" w:eastAsia="Times New Roman" w:hAnsi="Arial"/>
      <w:i/>
      <w:sz w:val="22"/>
      <w:szCs w:val="24"/>
    </w:rPr>
  </w:style>
  <w:style w:type="paragraph" w:customStyle="1" w:styleId="Heading-hidefromTOC">
    <w:name w:val="Heading - hide from TOC"/>
    <w:basedOn w:val="Heading1"/>
    <w:rsid w:val="009E2D44"/>
    <w:pPr>
      <w:autoSpaceDE w:val="0"/>
      <w:autoSpaceDN w:val="0"/>
      <w:adjustRightInd w:val="0"/>
      <w:spacing w:before="440" w:after="180" w:line="276" w:lineRule="auto"/>
      <w:textboxTightWrap w:val="allLines"/>
      <w:outlineLvl w:val="8"/>
    </w:pPr>
    <w:rPr>
      <w:rFonts w:ascii="Arial" w:hAnsi="Arial" w:cs="Arial"/>
      <w:b w:val="0"/>
      <w:color w:val="15467A"/>
      <w:sz w:val="36"/>
      <w:szCs w:val="20"/>
      <w:lang w:eastAsia="en-AU"/>
      <w14:textFill>
        <w14:solidFill>
          <w14:srgbClr w14:val="15467A">
            <w14:lumMod w14:val="50000"/>
          </w14:srgbClr>
        </w14:solidFill>
      </w14:textFill>
    </w:rPr>
  </w:style>
  <w:style w:type="table" w:styleId="MediumShading2-Accent1">
    <w:name w:val="Medium Shading 2 Accent 1"/>
    <w:basedOn w:val="TableNormal"/>
    <w:uiPriority w:val="64"/>
    <w:rsid w:val="009E2D4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82C5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31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5FF" w:themeFill="background1"/>
      </w:tcPr>
    </w:tblStylePr>
    <w:tblStylePr w:type="firstCol">
      <w:rPr>
        <w:b/>
        <w:bCs/>
        <w:color w:val="82C5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31A" w:themeFill="accent1"/>
      </w:tcPr>
    </w:tblStylePr>
    <w:tblStylePr w:type="lastCol">
      <w:rPr>
        <w:b/>
        <w:bCs/>
        <w:color w:val="82C5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31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47A9FF" w:themeFill="background1" w:themeFillShade="D8"/>
      </w:tcPr>
    </w:tblStylePr>
    <w:tblStylePr w:type="band1Horz">
      <w:tblPr/>
      <w:tcPr>
        <w:shd w:val="clear" w:color="auto" w:fill="47A9FF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5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9E2D44"/>
    <w:rPr>
      <w:rFonts w:ascii="Arial" w:eastAsia="Times New Roman" w:hAnsi="Arial"/>
      <w:sz w:val="22"/>
      <w:szCs w:val="24"/>
      <w:lang w:eastAsia="en-US"/>
    </w:rPr>
  </w:style>
  <w:style w:type="table" w:styleId="GridTable5Dark-Accent3">
    <w:name w:val="Grid Table 5 Dark Accent 3"/>
    <w:basedOn w:val="TableNormal"/>
    <w:uiPriority w:val="50"/>
    <w:rsid w:val="006E7869"/>
    <w:tblPr>
      <w:tblStyleRowBandSize w:val="1"/>
      <w:tblStyleColBandSize w:val="1"/>
      <w:tblBorders>
        <w:top w:val="single" w:sz="4" w:space="0" w:color="82C5FF" w:themeColor="background1"/>
        <w:left w:val="single" w:sz="4" w:space="0" w:color="82C5FF" w:themeColor="background1"/>
        <w:bottom w:val="single" w:sz="4" w:space="0" w:color="82C5FF" w:themeColor="background1"/>
        <w:right w:val="single" w:sz="4" w:space="0" w:color="82C5FF" w:themeColor="background1"/>
        <w:insideH w:val="single" w:sz="4" w:space="0" w:color="82C5FF" w:themeColor="background1"/>
        <w:insideV w:val="single" w:sz="4" w:space="0" w:color="82C5FF" w:themeColor="background1"/>
      </w:tblBorders>
    </w:tblPr>
    <w:tcPr>
      <w:shd w:val="clear" w:color="auto" w:fill="EDF2E3" w:themeFill="accent3" w:themeFillTint="33"/>
    </w:tcPr>
    <w:tblStylePr w:type="firstRow">
      <w:rPr>
        <w:b/>
        <w:bCs/>
        <w:color w:val="82C5FF" w:themeColor="background1"/>
      </w:rPr>
      <w:tblPr/>
      <w:tcPr>
        <w:tcBorders>
          <w:top w:val="single" w:sz="4" w:space="0" w:color="82C5FF" w:themeColor="background1"/>
          <w:left w:val="single" w:sz="4" w:space="0" w:color="82C5FF" w:themeColor="background1"/>
          <w:right w:val="single" w:sz="4" w:space="0" w:color="82C5FF" w:themeColor="background1"/>
          <w:insideH w:val="nil"/>
          <w:insideV w:val="nil"/>
        </w:tcBorders>
        <w:shd w:val="clear" w:color="auto" w:fill="A5BE73" w:themeFill="accent3"/>
      </w:tcPr>
    </w:tblStylePr>
    <w:tblStylePr w:type="lastRow">
      <w:rPr>
        <w:b/>
        <w:bCs/>
        <w:color w:val="82C5FF" w:themeColor="background1"/>
      </w:rPr>
      <w:tblPr/>
      <w:tcPr>
        <w:tcBorders>
          <w:left w:val="single" w:sz="4" w:space="0" w:color="82C5FF" w:themeColor="background1"/>
          <w:bottom w:val="single" w:sz="4" w:space="0" w:color="82C5FF" w:themeColor="background1"/>
          <w:right w:val="single" w:sz="4" w:space="0" w:color="82C5FF" w:themeColor="background1"/>
          <w:insideH w:val="nil"/>
          <w:insideV w:val="nil"/>
        </w:tcBorders>
        <w:shd w:val="clear" w:color="auto" w:fill="A5BE73" w:themeFill="accent3"/>
      </w:tcPr>
    </w:tblStylePr>
    <w:tblStylePr w:type="firstCol">
      <w:rPr>
        <w:b/>
        <w:bCs/>
        <w:color w:val="82C5FF" w:themeColor="background1"/>
      </w:rPr>
      <w:tblPr/>
      <w:tcPr>
        <w:tcBorders>
          <w:top w:val="single" w:sz="4" w:space="0" w:color="82C5FF" w:themeColor="background1"/>
          <w:left w:val="single" w:sz="4" w:space="0" w:color="82C5FF" w:themeColor="background1"/>
          <w:bottom w:val="single" w:sz="4" w:space="0" w:color="82C5FF" w:themeColor="background1"/>
          <w:insideV w:val="nil"/>
        </w:tcBorders>
        <w:shd w:val="clear" w:color="auto" w:fill="A5BE73" w:themeFill="accent3"/>
      </w:tcPr>
    </w:tblStylePr>
    <w:tblStylePr w:type="lastCol">
      <w:rPr>
        <w:b/>
        <w:bCs/>
        <w:color w:val="82C5FF" w:themeColor="background1"/>
      </w:rPr>
      <w:tblPr/>
      <w:tcPr>
        <w:tcBorders>
          <w:top w:val="single" w:sz="4" w:space="0" w:color="82C5FF" w:themeColor="background1"/>
          <w:bottom w:val="single" w:sz="4" w:space="0" w:color="82C5FF" w:themeColor="background1"/>
          <w:right w:val="single" w:sz="4" w:space="0" w:color="82C5FF" w:themeColor="background1"/>
          <w:insideV w:val="nil"/>
        </w:tcBorders>
        <w:shd w:val="clear" w:color="auto" w:fill="A5BE73" w:themeFill="accent3"/>
      </w:tcPr>
    </w:tblStylePr>
    <w:tblStylePr w:type="band1Vert">
      <w:tblPr/>
      <w:tcPr>
        <w:shd w:val="clear" w:color="auto" w:fill="DBE5C7" w:themeFill="accent3" w:themeFillTint="66"/>
      </w:tcPr>
    </w:tblStylePr>
    <w:tblStylePr w:type="band1Horz">
      <w:tblPr/>
      <w:tcPr>
        <w:shd w:val="clear" w:color="auto" w:fill="DBE5C7" w:themeFill="accent3" w:themeFillTint="66"/>
      </w:tcPr>
    </w:tblStylePr>
  </w:style>
  <w:style w:type="character" w:customStyle="1" w:styleId="ListParagraphChar">
    <w:name w:val="List Paragraph Char"/>
    <w:aliases w:val="Table Text Char,HW Table Text Char,NFP GP Bulleted List Char,List Paragraph1 Char,Recommendation Char,List Paragraph11 Char,CRC Numbered List Char,DDM Gen Text Char,Bullet List Char,Bullets 1 Char"/>
    <w:basedOn w:val="DefaultParagraphFont"/>
    <w:link w:val="ListParagraph"/>
    <w:uiPriority w:val="34"/>
    <w:rsid w:val="002100BB"/>
    <w:rPr>
      <w:rFonts w:ascii="Century Gothic" w:hAnsi="Century Gothic" w:cs="Arial"/>
      <w:color w:val="282828"/>
      <w:sz w:val="18"/>
      <w:szCs w:val="18"/>
      <w:lang w:val="en-US" w:eastAsia="en-US"/>
    </w:rPr>
  </w:style>
  <w:style w:type="table" w:styleId="GridTable1Light-Accent3">
    <w:name w:val="Grid Table 1 Light Accent 3"/>
    <w:basedOn w:val="TableNormal"/>
    <w:uiPriority w:val="46"/>
    <w:rsid w:val="00C23A9F"/>
    <w:tblPr>
      <w:tblStyleRowBandSize w:val="1"/>
      <w:tblStyleColBandSize w:val="1"/>
      <w:tblBorders>
        <w:top w:val="single" w:sz="4" w:space="0" w:color="DBE5C7" w:themeColor="accent3" w:themeTint="66"/>
        <w:left w:val="single" w:sz="4" w:space="0" w:color="DBE5C7" w:themeColor="accent3" w:themeTint="66"/>
        <w:bottom w:val="single" w:sz="4" w:space="0" w:color="DBE5C7" w:themeColor="accent3" w:themeTint="66"/>
        <w:right w:val="single" w:sz="4" w:space="0" w:color="DBE5C7" w:themeColor="accent3" w:themeTint="66"/>
        <w:insideH w:val="single" w:sz="4" w:space="0" w:color="DBE5C7" w:themeColor="accent3" w:themeTint="66"/>
        <w:insideV w:val="single" w:sz="4" w:space="0" w:color="DBE5C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D8A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D8A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3">
    <w:name w:val="Grid Table 6 Colorful Accent 3"/>
    <w:basedOn w:val="TableNormal"/>
    <w:uiPriority w:val="51"/>
    <w:rsid w:val="00166198"/>
    <w:rPr>
      <w:color w:val="809B48" w:themeColor="accent3" w:themeShade="BF"/>
    </w:rPr>
    <w:tblPr>
      <w:tblStyleRowBandSize w:val="1"/>
      <w:tblStyleColBandSize w:val="1"/>
      <w:tblBorders>
        <w:top w:val="single" w:sz="4" w:space="0" w:color="C9D8AB" w:themeColor="accent3" w:themeTint="99"/>
        <w:left w:val="single" w:sz="4" w:space="0" w:color="C9D8AB" w:themeColor="accent3" w:themeTint="99"/>
        <w:bottom w:val="single" w:sz="4" w:space="0" w:color="C9D8AB" w:themeColor="accent3" w:themeTint="99"/>
        <w:right w:val="single" w:sz="4" w:space="0" w:color="C9D8AB" w:themeColor="accent3" w:themeTint="99"/>
        <w:insideH w:val="single" w:sz="4" w:space="0" w:color="C9D8AB" w:themeColor="accent3" w:themeTint="99"/>
        <w:insideV w:val="single" w:sz="4" w:space="0" w:color="C9D8A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D8A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D8A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2E3" w:themeFill="accent3" w:themeFillTint="33"/>
      </w:tcPr>
    </w:tblStylePr>
    <w:tblStylePr w:type="band1Horz">
      <w:tblPr/>
      <w:tcPr>
        <w:shd w:val="clear" w:color="auto" w:fill="EDF2E3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A103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qFormat/>
    <w:rsid w:val="00A208D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D8"/>
    <w:rPr>
      <w:rFonts w:ascii="Century Gothic" w:hAnsi="Century Gothic"/>
      <w:szCs w:val="22"/>
      <w:lang w:eastAsia="en-US"/>
    </w:rPr>
  </w:style>
  <w:style w:type="paragraph" w:customStyle="1" w:styleId="4HWNormalText">
    <w:name w:val="4 HW Normal Text"/>
    <w:qFormat/>
    <w:rsid w:val="001A6C4D"/>
    <w:pPr>
      <w:spacing w:before="120" w:after="120"/>
    </w:pPr>
    <w:rPr>
      <w:rFonts w:ascii="Century Gothic" w:hAnsi="Century Gothic"/>
      <w:color w:val="282828"/>
      <w:sz w:val="21"/>
      <w:szCs w:val="24"/>
      <w:lang w:eastAsia="en-US"/>
    </w:rPr>
  </w:style>
  <w:style w:type="paragraph" w:customStyle="1" w:styleId="Default">
    <w:name w:val="Default"/>
    <w:rsid w:val="00E3657F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FF672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FF672D"/>
    <w:rPr>
      <w:rFonts w:ascii="Century Gothic" w:hAnsi="Century Gothic"/>
      <w:szCs w:val="22"/>
      <w:lang w:eastAsia="en-US"/>
    </w:rPr>
  </w:style>
  <w:style w:type="character" w:customStyle="1" w:styleId="cf01">
    <w:name w:val="cf01"/>
    <w:basedOn w:val="DefaultParagraphFont"/>
    <w:rsid w:val="003B77DB"/>
    <w:rPr>
      <w:rFonts w:ascii="Segoe UI" w:hAnsi="Segoe UI" w:cs="Segoe UI" w:hint="default"/>
      <w:sz w:val="18"/>
      <w:szCs w:val="18"/>
    </w:rPr>
  </w:style>
  <w:style w:type="paragraph" w:customStyle="1" w:styleId="Normaltable">
    <w:name w:val="Normal (table)"/>
    <w:basedOn w:val="Normal"/>
    <w:link w:val="NormaltableChar"/>
    <w:qFormat/>
    <w:rsid w:val="00D84FB9"/>
    <w:pPr>
      <w:spacing w:before="120" w:after="120"/>
    </w:pPr>
    <w:rPr>
      <w:sz w:val="22"/>
      <w:szCs w:val="24"/>
    </w:rPr>
  </w:style>
  <w:style w:type="character" w:customStyle="1" w:styleId="NormaltableChar">
    <w:name w:val="Normal (table) Char"/>
    <w:basedOn w:val="DefaultParagraphFont"/>
    <w:link w:val="Normaltable"/>
    <w:rsid w:val="00D84FB9"/>
    <w:rPr>
      <w:rFonts w:ascii="DM Sans" w:hAnsi="DM Sans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k.m@hlw.org.a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jack.m@hlw.org.au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a.g\OneDrive%20-%20Healthy%20Land%20and%20Water\Report%20(Portrait)%20-%20HLW.dotx" TargetMode="External"/></Relationships>
</file>

<file path=word/theme/theme1.xml><?xml version="1.0" encoding="utf-8"?>
<a:theme xmlns:a="http://schemas.openxmlformats.org/drawingml/2006/main" name="Office Theme">
  <a:themeElements>
    <a:clrScheme name="HLW 2026">
      <a:dk1>
        <a:srgbClr val="003041"/>
      </a:dk1>
      <a:lt1>
        <a:srgbClr val="82C5FF"/>
      </a:lt1>
      <a:dk2>
        <a:srgbClr val="035B77"/>
      </a:dk2>
      <a:lt2>
        <a:srgbClr val="EBFFFA"/>
      </a:lt2>
      <a:accent1>
        <a:srgbClr val="00331A"/>
      </a:accent1>
      <a:accent2>
        <a:srgbClr val="007873"/>
      </a:accent2>
      <a:accent3>
        <a:srgbClr val="A5BE73"/>
      </a:accent3>
      <a:accent4>
        <a:srgbClr val="E1EFBF"/>
      </a:accent4>
      <a:accent5>
        <a:srgbClr val="600808"/>
      </a:accent5>
      <a:accent6>
        <a:srgbClr val="F46747"/>
      </a:accent6>
      <a:hlink>
        <a:srgbClr val="82C5FF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9C944-F5C2-4627-9F6E-5CAEAC64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(Portrait) - HLW.dotx</Template>
  <TotalTime>1541</TotalTime>
  <Pages>17</Pages>
  <Words>2329</Words>
  <Characters>13280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Write your document title here</vt:lpstr>
    </vt:vector>
  </TitlesOfParts>
  <Manager>Suzi Moore</Manager>
  <Company>Healthy Land and Water</Company>
  <LinksUpToDate>false</LinksUpToDate>
  <CharactersWithSpaces>15578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Write your document title here</dc:title>
  <dc:creator>Georgia Glidden</dc:creator>
  <cp:lastModifiedBy>Paul Dubowski</cp:lastModifiedBy>
  <cp:revision>263</cp:revision>
  <cp:lastPrinted>2024-02-29T00:16:00Z</cp:lastPrinted>
  <dcterms:created xsi:type="dcterms:W3CDTF">2026-03-23T22:37:00Z</dcterms:created>
  <dcterms:modified xsi:type="dcterms:W3CDTF">2026-04-16T04:05:00Z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1313e091-e9a4-45e1-b313-c10a2af83acb</vt:lpwstr>
  </property>
</Properties>
</file>